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first step of the nursing process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Planning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Implementation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Assessment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Evaluation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Assessment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nursing process order is Assessment, Diagnosis, Planning, Implementation, Evaluation (ADPIE); assessment is the systematic collection of data that guides all later steps.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Planning: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Implementation: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Evaluation: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ADPIE: Assessment, Diagnosis, Planning, Implementation, Evaluation.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Using a blood pressure cuff that is too small for an obese client's arm will most likely produce a reading that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Zero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Falsely low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Falsely high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Exactly accurate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Falsely high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 too-small cuff squeezes the arm excessively, giving a falsely high reading; a too-large cuff gives falsely low values. The bladder should encircle 80% of the arm.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Zero: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Falsely low: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Exactly accurate: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apical pulse in an adult is best auscultated at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5th intercostal space, left midclavicular line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Carotid artery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2nd intercostal space, right sternal border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Radial artery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5th intercostal space, left midclavicular line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apex of the heart (apex beat) is located at the 5th intercostal space in the left midclavicular line; the apical pulse is counted for one full minute when it is irregular.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Carotid artery: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2nd intercostal space, right sternal border: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Radial artery: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To obtain an accurate respiratory rate,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Count for 15 seconds and multiply by 4 in all cases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Tell the client to breathe deeply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Ask the client to hold the breath first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Count respirations while pretending to count the pulse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Count respirations while pretending to count the pulse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Clients alter their breathing when they know it is being observed; counting after placing fingers on the wrist, as if taking a pulse, gives a natural, accurate rate.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Count for 15 seconds and multiply by 4 in all cases: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Tell the client to breathe deeply: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Ask the client to hold the breath first: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normal oral temperature range for an adult is approximately: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38 to 39 degree Celsius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34 to 35 degree Celsius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39.5 to 40.5 degree Celsius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36.5 to 37.5 degree Celsius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36.5 to 37.5 degree Celsius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Normal oral temperature is 36.5-37.5 degrees C (97.7-99.5 F); axillary readings are about 0.5 degree lower and rectal about 0.5 degree higher.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38 to 39 degree Celsius: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34 to 35 degree Celsius: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39.5 to 40.5 degree Celsius: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Temperature sites: rectal reads ~0.5-1 degree F HIGHER than oral; axillary ~0.5-1 degree F LOWER.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Rectal &gt; oral &gt; axillary temperature - each site about 0.5-1 degree F apart.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rectal route of temperature measurement is CONTRAINDICATED in clients with: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Recent rectal or prostate surgery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Mild headache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normal adult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healed fracture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Recent rectal or prostate surgery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Rectal temperatures are avoided after rectal/prostate surgery, in diarrhea, rectal bleeding, and acute myocardial infarction because manipulation may cause injury or arrhythmias.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Mild headache: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 normal adult: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 healed fracture: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Temperature sites: rectal reads ~0.5-1 degree F HIGHER than oral; axillary ~0.5-1 degree F LOWER.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Rectal &gt; oral &gt; axillary temperature - each site about 0.5-1 degree F apart.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Semi-Fowler's position places the head of the bed at: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Flat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10 degrees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90 degrees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30 to 45 degrees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30 to 45 degrees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Semi-Fowler's is 30-45 degrees of head elevation, useful for breathing and after abdominal surgery; high Fowler's is 60-90 degrees and low Fowler's 15-30 degrees.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Flat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10 degrees: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90 degrees: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Positioning questions hinge on one detail (gravity, comfort, accuracy) - read the exact wording.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Sims' (left lateral) position uses gravity for enema administration.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the Trendelenburg position, the client is placed with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Legs elevated above the head on pillows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Head higher than the feet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Head lower than the feet on an inclined surface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Body fully flat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Head lower than the feet on an inclined surface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Trendelenburg tilts the whole bed so the head is lower than the feet; it is used for postural drainage and historically for shock (head-down tilt).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Legs elevated above the head on pillows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Head higher than the feet: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Body fully flat: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Positioning questions hinge on one detail (gravity, comfort, accuracy) - read the exact wording.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Sims' (left lateral) position uses gravity for enema administration.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spinal precautions must be turned using the logrolling technique, which means: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Moving the body as one unit, keeping the spine aligned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Turning only the shoulders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Lifting the head first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Bending the spine at the waist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Moving the body as one unit, keeping the spine aligned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Logrolling keeps the head, trunk, and legs in one straight line to prevent spinal injury; the client crosses the arms and a draw sheet is used to roll the whole body together.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Turning only the shoulders: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Lifting the head first: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Bending the spine at the waist: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Log-roll keeps the spine in neutral alignment and prevents further cord injury.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Log-roll keeps the spine in neutral alignment - used for spinal injury.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Correct body mechanics when lifting a heavy object includes: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Twisting the trunk while lifting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Bending at the waist with straight legs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Bending at the knees and keeping the load close to the body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Holding the load at arm's length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Bending at the knees and keeping the load close to the body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Using the large muscles of the thighs with a wide base of support, knees bent, and the load held close prevents back strain and uses the strongest muscles.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Twisting the trunk while lifting: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Bending at the waist with straight legs: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Holding the load at arm's length: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For mouth care of an unconscious client, the nurse should place the client in which position?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Side-lying with the head turned to one side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Supine with the head flat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High Fowler's with head back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Prone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Side-lying with the head turned to one side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side-lying (lateral) position lets fluids and secretions drain out of the mouth, preventing aspiration; suction and minimal water are used during the procedure.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Supine with the head flat: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High Fowler's with head back: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Prone: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Positioning questions hinge on one detail (gravity, comfort, accuracy) - read the exact wording.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Sims' (left lateral) position uses gravity for enema administration.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When instilling eye drops, the medication is placed into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Inner canthus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Centre of the cornea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Lower conjunctival sac without touching the dropper to the eye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Upper eyelid directly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Lower conjunctival sac without touching the dropper to the eye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Drops go into the lower conjunctival sac; touching the dropper to the eye or lashes contaminates it. Pressure on the inner canthus (nasolacrimal duct) after instillation reduces systemic absorption.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Inner canthus only: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Centre of the cornea: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Upper eyelid directly: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To instil ear drops in an adult, the pinna is pulled: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No pulling is needed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Down and back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Down and forward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Up and back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Up and back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In adults, pull the pinna up and back to straighten the ear canal; in children under 3 years, pull it down and back because the canal is shorter and straighter.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No pulling is needed: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Down and back: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Down and forward: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Z-track method of intramuscular injection is used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Prevent irritating drugs from leaking into subcutaneous tissue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Increase the drug's speed of absorption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Avoid giving the full dose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Allow a larger dose in the deltoid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Prevent irritating drugs from leaking into subcutaneous tissue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Z-track (pulling skin to one side before injection, releasing after) seals the needle track so irritating drugs like iron dextran do not leak into tissues, reducing pain and staining.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Increase the drug's speed of absorption: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Avoid giving the full dose: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Allow a larger dose in the deltoid: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maximum volume of medication that should be given in the adult deltoid muscle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3 mL is always safe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 mL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5 mL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10 mL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1 mL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deltoid is small; the maximum recommended volume is 1 mL in adults (0.5 mL in children). The vastus lateralis and ventrogluteal can take 2-3 mL.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3 mL is always safe: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5 mL: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10 mL: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angle of insertion for an intradermal injection, used for the tuberculin (Mantoux) test,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45 degrees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10 to 15 degrees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180 degrees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90 degrees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10 to 15 degrees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Intradermal injections enter just under the epidermis at 10-15 degrees, forming a small wheal or bleb; the usual site is the inner forearm.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45 degrees: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180 degrees: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90 degrees: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subcutaneous injection in a thin client is given at an angle of approximately: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90 degrees always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180 degrees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10 degrees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45 degrees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45 degrees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For thin clients, pinch the tissue and inject at 45 degrees; if a generous fat fold is available, 90 degrees is used. The 90-degree angle is chosen based on the size of the skinfold.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90 degrees always: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180 degrees: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10 degrees: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taking sublingual nitroglycerin for chest pain should be instructed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Place the tablet under the tongue and allow it to dissolve; do not swallow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Place it between the cheek and gum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Chew and swallow it quickly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Crush it and add to water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Place the tablet under the tongue and allow it to dissolve; do not swallow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Sublingual nitro is absorbed directly through the oral mucosa into the bloodstream; swallowing reduces its effect. The nurse checks blood pressure before giving it.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Place it between the cheek and gum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Chew and swallow it quickly: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Crush it and add to water: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nasal cannula delivers oxygen at a usual flow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0.5 L/min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 to 6 L/min providing about 24-44% oxygen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25 L/min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10 to 15 L/min providing 60-100%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1 to 6 L/min providing about 24-44% oxygen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Nasal cannula flow is 1-6 L/min (FiO2 24-44%); higher flows dry the mucosa and are not reliably delivered. Above 6 L/min a mask is used.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Only 0.5 L/min: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25 L/min: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10 to 15 L/min providing 60-100%: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an unstable client, ABC comes before diagnostics - stabilise first, diagnose next.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non-rebreather mask must be set at a flow of 10-15 L/min so that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Reservoir bag stays inflated and the client receives 60-100% oxygen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Client exhales freely into the room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Client receives room air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Bag deflates completely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Reservoir bag stays inflated and the client receives 60-100% oxygen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At 10-15 L/min the reservoir bag remains inflated, allowing near 100% FiO2 with one-way valves preventing exhaled air mixing; the bag must never be allowed to collapse.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Client exhales freely into the room: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Client receives room air: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Bag deflates completely: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During oropharyngeal suctioning, each suction attempt should last no longer than: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30 to 45 seconds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 minutes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10 to 15 seconds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5 minutes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10 to 15 seconds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Suctioning beyond 10-15 seconds causes hypoxia and vagal stimulation; oxygen is given before and after, and the client is allowed to rest between attempts.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30 to 45 seconds: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2 minutes: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5 minutes: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For a clean-catch midstream urine specimen, the client is instructed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Collect the very first urine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Clean the meatus, void the first stream, then collect the middle portion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Urinate directly into the container without cleaning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Collect the last few drops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Clean the meatus, void the first stream, then collect the middle portion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Midstream collection - cleaning, discarding the first stream (which flushes urethral bacteria), then collecting - reduces contamination for culture.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Collect the very first urine: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Urinate directly into the container without cleaning: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Collect the last few drops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At the start of a 24-hour urine collection,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Collect urine only during the 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Discard the first voided urine and record the time, then collect all urine for 24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Save the first voided urine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Keep the urine at room temperature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Discard the first voided urine and record the time, then collect all urine for 24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bladder is emptied and that specimen discarded; from that recorded time all urine is collected, kept refrigerated or on ice, and the container labeled with times.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Collect urine only during the day: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Save the first voided urine: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Keep the urine at room temperature: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Signs of intravenous fluid infiltration include: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Redness and warmth along the vein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Chest pain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Swelling, coolness, and pallor at the insertion site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Fever with chills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Swelling, coolness, and pallor at the insertion site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Infiltration is fluid leaking into tissues - swelling, coolness, pallor, and a slowed flow rate; the infusion is stopped and the site elevated/restarted. Redness and warmth suggest phlebitis.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Redness and warmth along the vein: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Chest pain: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Fever with chills: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Phlebitis at an IV site is characterized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Cool, pale swelling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 visible change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Bleeding at the site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Redness, warmth, and tenderness along the vein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Redness, warmth, and tenderness along the vein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Phlebitis is vein inflammation - red, warm, painful streak along the vessel; the IV is discontinued and a new site selected, and a warm compress may be applied.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Cool, pale swelling: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No visible change: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Bleeding at the site: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FIRST action of the nurse when a client develops a suspected blood transfusion reaction is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Give the client food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Discard the blood bag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Increase the transfusion rate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Stop the transfusion immediately and keep the IV line open with normal saline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Stop the transfusion immediately and keep the IV line open with normal saline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Stopping the transfusion prevents more reaction; the line is kept patent with saline, the nurse checks vital signs and symptoms, notifies the provider, and returns the blood bag and samples to the lab.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Give the client food: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Discard the blood bag: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Increase the transfusion rate: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Transfusion reaction: stop the transfusion FIRST, keep the vein open with normal saline.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a fire, the mnemonic RACE instructs the nurse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Run, Act, Call, Exit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Rescue, Alarm, Contain, Extinguish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Report, Alert, Contain, Escape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Remove, Assess, Clear, Evacuate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Rescue, Alarm, Contain, Extinguish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RACE: Rescue clients in immediate danger, pull the Alarm, Contain the fire by closing doors/windows, and Extinguish if small - or evacuate if large.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Run, Act, Call, Exit: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Report, Alert, Contain, Escape: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Remove, Assess, Clear, Evacuate: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According to WHO, hand hygiene must be performed at FIVE moments, which are: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Before touching a patient, before clean/aseptic procedure, after body fluid exposure, after touching a patient, after touching patient surroundings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at the start of the shift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after using the toilet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before and after meals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Before touching a patient, before clean/aseptic procedure, after body fluid exposure, after touching a patient, after touching patient surroundings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5 Moments: (1) before touching a patient, (2) before a clean/aseptic procedure, (3) after body fluid exposure risk, (4) after touching a patient, and (5) after touching patient surroundings.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WHO | FIVE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Only at the start of the shift: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Only after using the toilet: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Only before and after meals: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Standard precautions are applied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All clients regardless of diagnosis or infection status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immunocompromised clients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clients with diagnosed infections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surgical clients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All clients regardless of diagnosis or infection status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Standard precautions (hand hygiene, PPE, safe sharps handling, respiratory hygiene) are used for EVERY client because any body fluid may carry infection.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Only immunocompromised clients: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Only clients with diagnosed infections: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Only surgical clients: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five stages of grief described by Kubler-Ross, in order, are: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Bargaining, denial, anger, depression, acceptance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Depression, denial, bargaining, anger, acceptance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Anger, denial, acceptance, bargaining, depression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Denial, anger, bargaining, depression, acceptance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Denial, anger, bargaining, depression, acceptance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Kubler-Ross identified denial, anger, bargaining, depression, and acceptance - stages clients may move through (not necessarily in order) when facing death or loss.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Bargaining, denial, anger, depression, acceptance: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Depression, denial, bargaining, anger, acceptance: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Anger, denial, acceptance, bargaining, depression: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Diabetic ketoacidosis (DKA) is characterized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Hyperglycemia without ketones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Hyperglycemia with ketosis and metabolic acidosis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Hypoglycemia with ketosis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Normal glucose with acidosis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Hyperglycemia with ketosis and metabolic acidosis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DKA - absolute insulin deficiency - causes hyperglycemia, ketone production, and metabolic acidosis with dehydration, Kussmaul respirations, and fruity breath; treatment is insulin, fluids, and potassium replacement.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Hyperglycemia without ketones: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Hypoglycemia with ketosis: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Normal glucose with acidosis: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Only regular (soluble) insulin is clear and given IV; NPH, Lente and others are cloudy suspensions for subcutaneous use.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Regular (soluble) insulin is the only insulin given IV.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Hyperosmolar hyperglycemic state (HHS) is most likely to occur in: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Children with type 1 diabetes and ketosis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Clients with normal glucose levels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Clients with hypoglycemia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Older adults with type 2 diabetes with severe hyperglycemia but little or no ketosis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Older adults with type 2 diabetes with severe hyperglycemia but little or no ketosis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HHS features very high glucose (often above 600 mg/dL), extreme dehydration, and hyperosmolality with minimal ketosis; it develops slowly in type 2 diabetes, often triggered by infection.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Most Likely | HHS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Children with type 1 diabetes and ketosis: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Clients with normal glucose levels: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Clients with hypoglycemia: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For a client with cirrhosis and ascites, the nurse should: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Restrict dietary sodium and monitor daily weight and abdominal girth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Keep the client in Trendelenburg position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Encourage unlimited salty foods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Remove all fluids by mouth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Restrict dietary sodium and monitor daily weight and abdominal girth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Ascites is managed with sodium restriction, diuretics (spironolactone), daily weight and girth measurement, and sometimes paracentesis; albumin may be given after large-volume paracentesis.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Keep the client in Trendelenburg position: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Encourage unlimited salty foods: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Remove all fluids by mouth: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esophageal varices must avoid: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Drinking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Soft foods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Straining, heavy lifting, and anything that raises intra-abdominal pressure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Sitting upright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Straining, heavy lifting, and anything that raises intra-abdominal pressure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Varices from portal hypertension can rupture with increased pressure - straining, coughing, and heavy lifting are avoided; NG tubes and vigorous suction are also avoided.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Drinking water: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Soft foods: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Sitting upright: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Hepatic encephalopathy is caused by accumulation of which substance, and is treated with lactulose?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Urea; lactulose dilutes it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Bilirubin; lactulose dissolves it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Ammonia; lactulose lowers it by acidifying the gut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Glucose; lactulose raises it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Ammonia; lactulose lowers it by acidifying the gut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failing liver cannot clear ammonia; lactulose traps ammonia in the colon (acidifies stool, causes diarrhea) and rifaximin reduces ammonia-producing gut bacteria.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Urea; lactulose dilutes it: Lactulose lowers blood ammonia in hepatic encephalopathy.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Bilirubin; lactulose dissolves it: Lactulose lowers blood ammonia in hepatic encephalopathy.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Glucose; lactulose raises it: Lactulose lowers blood ammonia in hepatic encephalopathy.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An Addisonian (adrenal) crisis is an emergency characterized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Bradycardia with normal potassium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Hypertension with hypernatremia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Hyperglycemia and weight gain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Severe hypotension, hyperkalemia, hyponatremia, and hypoglycemia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Severe hypotension, hyperkalemia, hyponatremia, and hypoglycemia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Acute adrenal insufficiency causes vascular collapse - hypotension, hyperkalemia, hyponatremia, and hypoglycemia; treatment is IV hydrocortisone, saline, and dextrose.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Bradycardia with normal potassium: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Hypertension with hypernatremia: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Hyperglycemia and weight gain: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Cushing's syndrome is caused by excess cortisol and classically presents with: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Moon face, buffalo hump, truncal obesity, and purple striae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Exophthalmos and goiter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Hypotension and hypoglycemia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Weight loss and hyperpigmentation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Moon face, buffalo hump, truncal obesity, and purple striae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Cortisol excess causes central obesity, moon facies, buffalo hump, thin skin with striae, hyperglycemia, hypertension, and easy bruising; it may be from steroids, adrenal tumour, or pituitary adenoma.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Exophthalmos and goiter: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Hypotension and hypoglycemia: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Weight loss and hyperpigmentation: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Cushing's triad (bradycardia, hypertension, irregular respirations) is a LATE sign of dangerously raised ICP.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Cushing's triad = bradycardia, hypertension, irregular respirations - late sign of raised ICP.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Thyroid storm, a life-threatening complication of hyperthyroidism, presents with: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Hypothermia and bradycardia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Constipation and weight gain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Slow speech and lethargy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High fever, extreme tachycardia, agitation, and delirium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High fever, extreme tachycardia, agitation, and delirium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Thyroid storm is decompensated hyperthyroidism - fever, tachycardia, arrhythmias, vomiting, and altered mentation; treatment includes antithyroid drugs, beta-blockers, steroids, and cooling.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Hypothermia and bradycardia: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Constipation and weight gain: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Slow speech and lethargy: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Early signs of digoxin toxicity include: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Diarrhea with ringing in the 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Constipation and dry mouth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Increased appetite and insomnia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Anorexia, nausea, vomiting, and yellow-green visual halos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Anorexia, nausea, vomiting, and yellow-green visual halos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Digoxin toxicity - nausea, anorexia, visual disturbances (yellow-green halos), bradycardia, and arrhythmias - is worsened by hypokalemia; the pulse is checked before each dose.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Diarrhea with ringing in the ears: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Constipation and dry mouth: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Increased appetite and insomnia: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Antidotes: heparin -&gt; protamine sulfate, warfarin -&gt; vitamin K, opioids -&gt; naloxone, benzodiazepines -&gt; flumazenil, paracetamol -&gt; N-acetylcysteine.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Heparin -&gt; protamine sulfate; warfarin -&gt; vitamin K - never interchange.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Therapeutic serum lithium levels are approximately: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0.05 to 0.1 mEq/L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0.6 to 1.2 mEq/L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5 to 10 mEq/L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15 to 20 mEq/L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0.6 to 1.2 mEq/L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Lithium has a narrow window; toxicity (tremor, ataxia, confusion, vomiting) appears above about 1.5 mEq/L, so regular levels and adequate salt/water intake are essential.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0.05 to 0.1 mEq/L: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5 to 10 mEq/L: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15 to 20 mEq/L: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Lithium toxicity risk rises with hyponatraemia and dehydration - monitor serum lithium and sodium.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Lithium toxicity: hyponatraemia + dehydration raise serum lithium - monitor both.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specific antidote for heparin overdose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Protamine sulfate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Naloxone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Vitamin 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Flumazenil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Protamine sulfate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Protamine sulfate binds and inactivates heparin; vitamin K reverses warfarin, naloxone reverses opioids, and flumazenil reverses benzodiazepines.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Naloxone: Naloxone reverses opioid (narcotic) overdose - a different antidote situation.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Vitamin K: Vitamin K reverses warfarin (oral anticoagulant) - not heparin.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Flumazenil: Flumazenil reverses benzodiazepine overdose - not this toxicity.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Antidotes are the most interchanged facts in exams: heparin -&gt; protamine sulfate, warfarin -&gt; vitamin K, opioids -&gt; naloxone, paracetamol -&gt; N-acetylcysteine.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Heparin -&gt; protamine sulfate; warfarin -&gt; vitamin K - never interchange these antidotes.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Vitamin K is administered to reverse the anticoagulant effect of: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Warfarin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Clopidogrel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Heparin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Aspirin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Warfarin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Warfarin blocks vitamin K-dependent clotting factors, so vitamin K (or fresh frozen plasma in emergencies) restores clotting; heparin needs protamine.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Clopidogrel: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Heparin: Heparin is an anticoagulant; its antidote is protamine sulfate.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Aspirin: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Antidotes are the most interchanged facts in exams: heparin -&gt; protamine sulfate, warfarin -&gt; vitamin K, opioids -&gt; naloxone, paracetamol -&gt; N-acetylcysteine.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Heparin -&gt; protamine sulfate; warfarin -&gt; vitamin K - never interchange these antidotes.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Metformin should be temporarily withheld in clients with: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Mild fasting hyperglycemia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Normal renal function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single missed meal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Severe renal impairment or before contrast studies, due to lactic acidosis risk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Severe renal impairment or before contrast studies, due to lactic acidosis risk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Metformin is cleared by the kidney; acute kidney injury or iodinated contrast increases the rare but serious risk of lactic acidosis, so it is held around contrast studies.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Mild fasting hyperglycemia: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Normal renal function: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 single missed meal: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Peripheral neuropathy caused by isoniazid (INH) is prevented by giving: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Folic acid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Vitamin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Vitamin B12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Pyridoxine (vitamin B6)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Pyridoxine (vitamin B6)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INH depletes vitamin B6, causing peripheral neuropathy; pyridoxine is co-administered in tuberculosis treatment, especially in alcoholics, pregnancy, and diabetics.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Folic acid: Folic acid deficiency causes megaloblastic anaemia.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Vitamin C: Vitamin C deficiency causes scurvy.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Vitamin B12: Vitamin B12 deficiency causes megaloblastic (pernicious) anaemia.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taking rifampicin should be told that it will cause: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Black stools and bleeding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Orange-red discoloration of urine, sweat, and tears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Hair loss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Permanent blindness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Orange-red discoloration of urine, sweat, and tears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Rifampicin harmlessly colours body fluids orange-red (it also stains contact lenses); it is a potent enzyme inducer, so many drug interactions must be reviewed.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Black stools and bleeding: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Hair loss: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Permanent blindness: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Chadwick's sign in early pregnancy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Softening of the cervix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Softening of the lower uterine segment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Bluish-purple discoloration of the cervix and vagina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Palpable fetal movements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Bluish-purple discoloration of the cervix and vagina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Chadwick's sign is the violet-blue cervical/vaginal colour from increased vascularity; Hegar's sign is lower-segment softening and Goodell's sign is cervical softening.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Softening of the cervix: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Softening of the lower uterine segment: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Palpable fetal movements: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Watch the gestation and the bleeding pattern - they discriminate previa, abruption and labour complications.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Quickening, the mother's first perception of fetal movements, usually occurs at: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6 to 8 weeks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36 to 40 weeks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28 to 32 weeks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16 to 20 weeks of gestation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16 to 20 weeks of gestation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Primigravidas usually feel quickening at 18-20 weeks and multigravidas around 16-18 weeks; it is a positive sign of pregnancy.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6 to 8 weeks: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36 to 40 weeks: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28 to 32 weeks: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At 20 weeks of gestation, the uterine fundus is typically located at the: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Umbilicus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Symphysis pubis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Midpoint between umbilicus and xiphisternum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Xiphisternum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Umbilicus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Fundal height reaches the umbilicus at about 20 weeks and rises roughly 1 cm per week to the xiphisternum around 36 weeks; it is used to gauge fetal growth.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Symphysis pubis: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Midpoint between umbilicus and xiphisternum: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Xiphisternum: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Watch the gestation and the bleeding pattern - they discriminate previa, abruption and labour complications.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Preeclampsia is defined as new-onset hypertension (140/90 mmHg or more) with: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Bleeding in the third trimester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Hyperemesis in the first trimester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Proteinuria or end-organ dysfunction after 20 weeks of gestation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Polyhydramnios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Proteinuria or end-organ dysfunction after 20 weeks of gestation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Preeclampsia - BP 140/90 or above with proteinuria and/or signs of organ involvement after 20 weeks - is a leading cause of maternal and fetal morbidity; severe features require delivery planning.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Bleeding in the third trimester: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Hyperemesis in the first trimester: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Polyhydramnios: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Before and during magnesium sulfate infusion for preeclampsia, the nurse must monitor: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Blood glucose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Deep tendon reflexes, respiratory rate, and urine output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Fetal heart rate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blood pressure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Deep tendon reflexes, respiratory rate, and urine output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Magnesium toxicity - loss of reflexes (first sign), respiratory depression, then cardiac arrest - is prevented by monitoring DTRs, respirations (at least 12/min), and urine output; calcium gluconate is the antidote.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Blood glucose: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Fetal heart rate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Only blood pressure: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normal progression of lochia after delivery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Alba to rubra to serosa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Serosa to alba to rubra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Constant bright red for 6 weeks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Rubra (red) to serosa (pinkish) to alba (whitish)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Rubra (red) to serosa (pinkish) to alba (whitish)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Lochia rubra lasts about 1-3 days (blood), serosa 4-10 days (pink/brown), and alba 10 days to 3-4 weeks (yellowish-white); a foul odour or heavy bleeding is abnormal.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Alba to rubra to serosa: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Serosa to alba to rubra: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Constant bright red for 6 weeks: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Watch the gestation and the bleeding pattern - they discriminate previa, abruption and labour complications.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Under the UIP, the BCG vaccine is given: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At 9 months subcutaneously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to adults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At birth, intradermally on the left upper arm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At 6 weeks intramuscularly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At birth, intradermally on the left upper arm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BCG (for tuberculosis) is given intradermally at birth on the left upper arm; a small papule that may scar is expected and the site must not be pressed or bandaged.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UIP | BCG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At 9 months subcutaneously: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Only to adults: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At 6 weeks intramuscularly: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Immunisation: birth = BCG, OPV-0, Hepatitis B-0; 6 weeks = DPT/OPV-1; 9-12 months = measles/MMR.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Birth: BCG, OPV-0, HepB-0 | 6 weeks: DPT/OPV-1 | 9-12 months: measles/MMR.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Moro (startle) reflex normally disappears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 year of age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3 to 4 months of age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6 months of age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 weeks of age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3 to 4 months of age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Moro reflex - arms abduct and extend with sudden head extension - fades by 3-4 months; persistence beyond 6 months suggests neurological delay.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 year of age: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6 months of age: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2 weeks of age: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Moro reflex appears at birth and disappears by 3-4 months; persistence beyond 6 months is abnormal.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Moro reflex disappears by 3-4 months.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World Health Organization recommends exclusive breastfeeding for the first: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 year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6 months of life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 months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 months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6 months of life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Exclusive breastfeeding (no water, other milk, or foods) for 6 months, then continued breastfeeding with complementary foods up to 2 years or beyond, is the WHO recommendation.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 year: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2 months: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3 months: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Colostrum, the first milk, is especially important because it is rich in: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Artificial vitamins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lactose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Immunoglobulins (secretory IgA) that protect the newborn gut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fat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Immunoglobulins (secretory IgA) that protect the newborn gut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Colostrum - thick, yellowish, small in volume - delivers maternal antibodies (IgA), white cells, and a laxative effect that clears meconium and protects against infection.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Artificial vitamins: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Only lactose: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Only fat: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WHO treatment plan for a child with diarrhea without dehydration includes: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Withholding all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Antibiotics for all cases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Oral rehydration solution plus zinc supplementation for 10-14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Intravenous fluids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Oral rehydration solution plus zinc supplementation for 10-14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Plan A: increased fluids with ORS after each loose stool and 10-14 days of zinc (20 mg, 10 mg under 6 months); antibiotics are used only for dysentery or cholera.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Withholding all fluids: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Antibiotics for all cases: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Intravenous fluids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During phototherapy for neonatal jaundice, the nurse should: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Keep the infant fully clothed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Protect the infant's eyes and monitor hydration and bilirubin levels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Expose the skin to direct sunlight for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Stop breastfeeding entirely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Protect the infant's eyes and monitor hydration and bilirubin levels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Phototherapy lowers bilirubin; eye shields protect the retinas, skin is exposed with genitals covered, temperature and hydration are monitored, and feeds continue to promote bilirubin excretion.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Keep the infant fully clothed: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Expose the skin to direct sunlight for hours: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Stop breastfeeding entirely: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Incidence of a disease is defined as: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Total deaths from the disease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number of NEW cases occurring in a population during a specified period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All existing cases at one point in time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number of cases ever recorded in history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The number of NEW cases occurring in a population during a specified period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Incidence counts new cases over time (a rate of occurrence); prevalence counts all existing cases at a given point or period. Incidence reflects risk, prevalence reflects burden.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Total deaths from the disease: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All existing cases at one point in time: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The number of cases ever recorded in history: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An epidemic is BEST described as: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worldwide spread of disease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single isolated case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Occurrence of a disease in excess of the expected level in a community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disease constantly present in a region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Occurrence of a disease in excess of the expected level in a community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Epidemic = cases above the usual expected level; endemic = constant presence; pandemic = epidemic affecting many countries or the whole world; sporadic = occasional isolated cases.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 worldwide spread of disease: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 single isolated case: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 disease constantly present in a region: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ASHA (Accredited Social Health Activist)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clerk in the health department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trained woman community health volunteer serving about 1,000 population as first contact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specialist nurse in the ICU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doctor at the district hospital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A trained woman community health volunteer serving about 1,000 population as first contact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ASHA - a woman from the village, trained under NRHM - acts as the first contact, promoting antenatal care, immunization, family planning, and referral; she is the key link between community and health system.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 clerk in the health department: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 specialist nurse in the ICU: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 doctor at the district hospital: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subcentre, the first contact point between the community and the health system, is staffed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specialist and a surgeon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One male and one female multipurpose health worker (MPHW)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medical officer and staff nurse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volunteers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One male and one female multipurpose health worker (MPHW)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 subcentre serves 3,000-5,000 people and is staffed by a male (MPHW-M) and female (MPHW-F/ANM) worker providing basic care, immunization, family planning, and maternal-child services.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 specialist and a surgeon: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 medical officer and staff nurse: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Only volunteers: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The sub-centre is the most peripheral health unit; one per 5,000 rural population.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Sub-centre is the most peripheral health unit; one per 5,000 rural population.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Under biomedical waste management rules, sharps (needles, blades) are collected in containers of which colour?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Red bag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White translucent (puncture-proof) container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Yellow bag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Blue cardboard box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White translucent (puncture-proof) container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Sharps go into white, translucent, puncture-proof containers (never plastic bags); yellow is for human/animal tissues and infectious waste, red for recyclable contaminated plastics, and blue for glassware.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Red bag: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Yellow bag: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Blue cardboard box: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who believes he is a famous emperor and has special powers is experiencing a delusion of: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Grandeur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Persecution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Reference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Somatic type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Grandeur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Delusions of grandeur - inflated beliefs about one's importance, power, or identity - are seen in mania and schizophrenia; persecution (being harmed), reference (events refer to self), and somatic (bodily) delusions are other types.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Persecution: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Reference: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Somatic type: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Negative symptoms are DEFICITS (flat affect, alogia, avolition, anhedonia); positive are EXCESSES (hallucinations, delusions).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Delusion of reference: neutral events are felt to be personally directed.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hallucination is defined as: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An irrational fear of an object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strongly held false belief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false sensory perception occurring without any external stimulus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misinterpretation of a real external stimulus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A false sensory perception occurring without any external stimulus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Hallucinations arise from within - hearing, seeing, or feeling things that are not there; illusions are misperceptions of real stimuli, and delusions are false beliefs.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An irrational fear of an object: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 strongly held false belief: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 misinterpretation of a real external stimulus: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Delusion = fixed false belief; hallucination = false sensory perception; delusion of reference = neutral events felt to be personally directed.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Delusion of reference: neutral events are felt to be personally directed.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Before electroconvulsive therapy (ECT), the nurse should: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Keep the client NPO, remove dentures, and ensure informed consent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Withhold all psychiatric medications permanently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Encourage ambulation immediately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Give a large meal to prevent hypoglycemia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Keep the client NPO, remove dentures, and ensure informed consent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ECT nursing care: NPO, empty bladder, remove dentures/jewellery, baseline vital signs, and consent; post-ECT the client may have brief confusion, so safety and reorientation are provided.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Withhold all psychiatric medications permanently: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Encourage ambulation immediately: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Give a large meal to prevent hypoglycemia: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ECT is indicated for severe depression with high suicide risk and for catatonia.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ECT: severe depression with suicide risk, catatonia.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largest artery in the body, which carries blood from the left ventricle, is the: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Carotid artery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Pulmonary artery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Aorta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Femoral artery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Aorta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aorta - about 2.5 cm in diameter - leaves the left ventricle and branches to supply the whole body; the pulmonary artery carries blood to the lungs.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Carotid artery: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Pulmonary artery: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Femoral artery: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sinoatrial (SA) node, the natural pacemaker of the heart, is located in the: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Right atrium near the opening of the superior vena cava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Aorta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Left ventricle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Interventricular septum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Right atrium near the opening of the superior vena cava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SA node in the right atrium initiates each heartbeat at about 60-100/min; the AV node and Purkinje fibres conduct the impulse through the ventricles.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Aorta: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Left ventricle: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Interventricular septum: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Sterilization in an autoclave is achieved at: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100 degrees Celsius for 5 minutes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Room temperature overnight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60 degrees Celsius for 10 minutes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121 degrees Celsius at 15 psi for 15-20 minutes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121 degrees Celsius at 15 psi for 15-20 minutes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Moist heat under pressure in an autoclave - 121 degrees C, 15 psi, 15-20 minutes - kills all microorganisms including spores; it is the most reliable sterilization method.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100 degrees Celsius for 5 minutes: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Room temperature overnight: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60 degrees Celsius for 10 minutes: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Autoclave = moist heat at 121 degrees C, 15 psi for 15-20 minutes; hot air oven = dry heat at 160 degrees C for 1 hour.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Autoclave: 121 degrees C, 15 psi, 15-20 minutes - kills spores.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Gram-positive bacteria appear what colour after Gram staining, because of their thick peptidoglycan wall?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Pink (red)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Purple (violet)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Green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Colourless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Purple (violet)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Gram-positive cells retain crystal violet and appear purple; gram-negative cells lose the stain and take up safranin, appearing pink, with a thin wall and outer membrane.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Pink (red):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Green: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Colourless: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body mass index (BMI) of 28 kg/m2 is classified as: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Overweight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Severe obesity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Normal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Underweight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Overweight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BMI: below 18.5 underweight, 18.5-24.9 normal, 25-29.9 overweight, 30 and above obese; 28 therefore falls in the overweight range.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28 kg | BMI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Severe obesity: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Normal: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Underweight: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electrical resistance of a conductor is measured in: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Watts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Ohms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Amperes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Volts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Ohms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Resistance - opposition to current flow - is measured in ohms (symbol omega); current is in amperes, potential difference in volts, and power in watts.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Watts: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Amperes: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Volts: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atomic number of an element is equal to the number of: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Nucleons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Neutrons in its nucleus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Protons in its nucleus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Electrons in the outermost shell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Protons in its nucleus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Atomic number = number of protons, which identifies the element; mass number = protons + neutrons. In a neutral atom, protons = electrons.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Nucleons only: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Neutrons in its nucleus: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Electrons in the outermost shell: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normal pH of human blood is approximately: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6.0 to 6.5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5.0 to 5.5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8.5 to 9.0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7.35 to 7.45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7.35 to 7.45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Blood pH is tightly kept at 7.35-7.45; acidosis is below 7.35 and alkalosis above 7.45, regulated by buffers, lungs, and kidneys.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6.0 to 6.5: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5.0 to 5.5: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8.5 to 9.0: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pH &lt; 7 = acidic, pH 7 = neutral, pH &gt; 7 = basic.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pH &lt; 7 acid, 7 neutral, &gt; 7 base.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straw in a glass of water appears bent at the water surface because of: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Dispersion of light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Refraction of light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Reflection of light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Diffraction of light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Refraction of light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Light changes speed and bends as it passes from water to air - refraction; reflection bounces light back, dispersion splits white light into colours, and diffraction bends light around edges.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Dispersion of light: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Reflection of light: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Diffraction of light: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SI unit of work and energy is the: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Joule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Newton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Watt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Pascal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Joule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Work = force x distance, measured in joules (J); the newton is force, the watt is power (joules per second), and the pascal is pressure.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Newton: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Watt: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Pascal: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SI units: power -&gt; watt, energy -&gt; joule, force -&gt; newton, current -&gt; ampere, potential difference -&gt; volt.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1 W = 1 J/s; know the SI unit of every physical quantity.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hardest natural substance known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Quartz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Diamond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Iron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Graphite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Diamond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Diamond - a crystalline form of carbon with strong covalent bonds in three dimensions - is the hardest natural material, used for cutting and drilling.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Quartz: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Iron: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Graphite: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DNA stands for: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Deoxyribonucleic acid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Dinucleotide acid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Dihydro nucleic acid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Deoxyribose nuclear acid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Deoxyribonucleic acid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DNA (deoxyribonucleic acid) carries genetic information as a double helix of nucleotides with bases adenine, thymine, guanine, and cytosine.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Dinucleotide acid: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Dihydro nucleic acid: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Deoxyribose nuclear acid: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Haemoglobin in red blood cells primarily functions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Transport oxygen from the lungs to the tissues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Clot blood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Digest proteins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Fight bacteria directly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Transport oxygen from the lungs to the tissues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Haemoglobin - an iron-containing protein - binds oxygen in the lungs (oxyhaemoglobin) and releases it in tissues; carbon dioxide is also carried back to the lungs.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Clot blood: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Digest proteins: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Fight bacteria directly: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Ice floats on water because: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It is heavier than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It contains air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Water repels ice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Its density is lower than that of liquid water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Its density is lower than that of liquid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Water expands on freezing, so ice is less dense (about 0.92 g/cm3) than liquid water (1 g/cm3) and floats - a unique property that protects aquatic life in winter.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It is heavier than water: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It contains air only: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Water repels ice: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planet closest to the Sun in our solar system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Earth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Mercury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Venus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Mercury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Mercury - the smallest planet - orbits closest to the Sun at about 58 million km; Venus is second and is the hottest planet due to its greenhouse atmosphere.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Earth: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Mars: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Venus: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The Sun's energy comes from nuclear FUSION of hydrogen into helium; fission splits heavy nuclei (reactors).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Sun = nuclear fusion (H -&gt; He); reactors = fission.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Preamble of the Indian Constitution begins with the words: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 the name of God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India, that is Bharat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We, the people of India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Long live the Republic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We, the people of India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Preamble opens 'WE, THE PEOPLE OF INDIA, having solemnly resolved to constitute India into a sovereign socialist secular democratic republic...'.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In the name of God: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India, that is Bharat: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Long live the Republic: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Learn amendments with years: the 42nd Amendment (1976) added the Fundamental Duties (Article 51A).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Constitution adopted 26 Nov 1949; in force 26 Jan 1950.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President of India is elected by an electoral college consisting of: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All citizens above 18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Supreme Court judges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the Prime Minister and Cabinet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Elected members of Parliament and elected members of State Legislative Assemblies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Elected members of Parliament and elected members of State Legislative Assemblies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electoral college comprises elected MPs of both Houses, elected members of state assemblies, and elected members of the assemblies of Delhi and Puducherry - elected MLAs, not nominated members.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All citizens above 18 years: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The Supreme Court judges: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Only the Prime Minister and Cabinet: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oath of office to the President of India is administered by the: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Speaker of the Lok Sabha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Chief Justice of India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Vice President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Prime Minister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Chief Justice of India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Chief Justice of India (or in his absence the senior-most Supreme Court judge) administers the oath to the President; the President appoints the CJI.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Speaker of the Lok Sabha: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Vice President: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Prime Minister: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Comptroller and Auditor General (CAG) of India is responsible for: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Issuing currency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Collecting taxes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Conducting elections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Auditing the accounts of the Union and State governments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Auditing the accounts of the Union and State governments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CAG audits government receipts and expenditure (constitutional authority under Article 148), reporting to Parliament; tax collection is with CBDT/CBIC, currency with RBI, and elections with the ECI.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Issuing currency: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Collecting taxes: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Conducting elections: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Planning Commission of India was established in: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1969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1947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1950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1991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1950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Planning Commission was set up in March 1950 by a Cabinet resolution to formulate Five-Year Plans; it was replaced by NITI Aayog in 2015.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1969: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1947: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1991: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Nursing process order: ADPIE - Assessment, Diagnosis, Planning, Implementation, Evaluation.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first Five-Year Plan of India (1951-56) laid emphasis on: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Information technology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Agriculture and irrigation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Nuclear energy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Space research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Agriculture and irrigation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first plan (target growth 2.1%) focused on agriculture, irrigation, and power to tackle food shortage; the second plan stressed rapid industrialization (heavy industry).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Information technology: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Nuclear energy: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Space research: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Green Revolution in India is associated with: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Development of green forests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High-yielding varieties of wheat and rice with fertilizers and irrigation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Organic farming exclusively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Solar energy production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High-yielding varieties of wheat and rice with fertilizers and irrigation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Green Revolution (1960s-70s), linked with Norman Borlaug and M.S. Swaminathan, used high-yielding wheat/rice varieties, irrigation, and fertilizers to make India self-sufficient in food.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Development of green forests: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Organic farming exclusively: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Solar energy production: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Kaziranga National Park, a UNESCO World Heritage site in Assam, is famous for the: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One-horned rhinoceros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Snow leopard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Asiatic lion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Bengal tiger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One-horned rhinoceros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Kaziranga holds the world's largest population of the greater one-horned rhinoceros; the Asiatic lion is in Gir (Gujarat) and snow leopards in the high Himalayas.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Snow leopard: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Asiatic lion: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Bengal tiger only: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Jim Corbett (1936, Uttarakhand) is India's oldest national park.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Jim Corbett (1936) is India's oldest national park.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Gir National Park in Gujarat is the only natural habitat of the: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Asiatic lion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Royal Bengal tiger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Indian bison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Clouded leopard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Asiatic lion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Gir is the sole home of the Asiatic lion in the wild; the Bengal tiger is found in reserves like Sundarbans, Corbett, and Kanha.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Royal Bengal tiger: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Indian bison: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Clouded leopard: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Jim Corbett (1936, Uttarakhand) is India's oldest national park.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Jim Corbett (1936) is India's oldest national park.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first Bharat Ratna awards (1954) were conferred on: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C. Rajagopalachari, Sarvepalli Radhakrishnan, and C.V. Raman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Sachin Tendulkar and Lata Mangeshkar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Jawaharlal Nehru, Indira Gandhi, and Gandhi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A.P.J. Abdul Kalam and Mother Teresa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C. Rajagopalachari, Sarvepalli Radhakrishnan, and C.V. Raman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In 1954 the Bharat Ratna - India's highest civilian honour - went to politician C. Rajagopalachari, philosopher-president S. Radhakrishnan, and physicist C.V. Raman.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Sachin Tendulkar and Lata Mangeshkar: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Jawaharlal Nehru, Indira Gandhi, and Gandhi: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A.P.J. Abdul Kalam and Mother Teresa: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An article bought for Rs 800 is sold for Rs 920. The profit percentage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18%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12%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15%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10%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15%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Profit = 920 - 800 = Rs 120; profit % = (120/800) x 100 = 15%.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Profit% = Profit/CP x 100; Loss% = Loss/CP x 100.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18%: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12%: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10%: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Successive percentage changes apply on the CHANGED value - x% up then x% down is never 0%.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Same % increase then decrease = net decrease of (x/100)^2.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Rs 90 is divided between A and B in the ratio 2:3. A receives: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Rs 36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Rs 45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Rs 60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Rs 54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Rs 36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Total parts = 2 + 3 = 5; one part = 90/5 = 18; A gets 2 x 18 = Rs 36 and B gets 3 x 18 = Rs 54.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Divide the total in the given ratio (sum of parts first).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Rs 45: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Rs 60: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Rs 54: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train covers 60 km in 45 minutes. Its speed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70 km/h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60 km/h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90 km/h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80 km/h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80 km/h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45 minutes = 0.75 hour; speed = 60/0.75 = 80 km/h.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distance = speed x time; convert units first.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70 km/h: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60 km/h: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90 km/h: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Convert units first: km/hr x 5/18 = m/s; distance = speed x time.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simple interest on Rs 2,400 at 5% per annum for 4 years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Rs 400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Rs 360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Rs 520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Rs 480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Rs 480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SI = (2400 x 5 x 4)/100 = Rs 480.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SI = P x R x T / 100.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Rs 400: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Rs 360: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Rs 520: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area of a circle with radius 7 cm (pi = 22/7)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144 sq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154 sq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49 sq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308 sq cm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154 sq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Area = pi x r2 = (22/7) x 7 x 7 = 154 sq cm.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144 sq cm: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49 sq cm: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308 sq cm: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Find the next term in the series: 2, 6, 12, 20, 30, 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42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36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44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40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42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The terms are 1x2, 2x3, 3x4, 4x5, 5x6; next is 6x7 = 42 (differences 4, 6, 8, 10, 12).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Check differences first; then squares, cubes or multiplication.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36: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44: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40: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number series, check differences first; then look for square, cube or multiplication patterns.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In series, differences first, patterns later.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a certain code, CAT is written as 24. How will DOG be written in the same code?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27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26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Letters take alphabetical positions: C=3, A=1, T=20, sum = 24. DOG = 4 + 15 + 7 = 26.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CAT | DOG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25: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28: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27: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man walks 4 km North, turns right and walks 3 km, then turns right again and walks 4 km. His final position relative to the start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4 km North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3 km East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4 km South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 km West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3 km East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After 4N + 3E + 4S he is back at the starting latitude, exactly 3 km East of the start.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Draw a small diagram - each turn changes direction by 90 degrees.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4 km North: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4 km South: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3 km West: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Pointing to a photograph, a girl says, 'She is the daughter of my grandfather's only son.' How is the girl related to the person in the photo?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Mother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Sister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Aunt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Cousin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Sister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Grandfather's only son is the girl's father; his daughter is the girl's sister.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Mother: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Aunt: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Cousin: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1 January 2024 is a Monday, 1 January 2025 will be a: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Thursday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Friday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Wednesday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Tuesday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Wednesday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2024 is a leap year with 366 days = 52 weeks + 2 days; Monday + 2 = Wednesday.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Thursday: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Friday: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Tuesday: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sectPr>
      <w:pgSz w:w="11906" w:h="16838"/>
      <w:pgMar w:top="1134" w:right="1134" w:bottom="1134" w:left="1134" w:header="720" w:footer="720" w:gutter="0"/>
    </w:sectPr>
  </w:body>
</w:document>
</file>