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full-thickness burn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Destruction of the epidermis and dermis, appearing white, waxy, or charred with NO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tissue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epidermal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Red, painful skin with intact blisters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Destruction of the epidermis and dermis, appearing white, waxy, or charred with NO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Full-thickness burns destroy all skin layers and nerve endings - painless, leathery, charred areas; superficial partial-thickness burns are red, moist, and painful with blisters.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tissue damage: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epidermal damage: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Red, painful skin with intact blisters: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Parkland formula: 4 mL x %TBSA x weight (kg) of Ringer's lactate in 24 h - half in the first 8 hours from the time of burn.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Parkland: first 8 hours = half of the total 24-hour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important sign of inhalation injury in a burn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normal voice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Clear nasal passages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Singed nasal hairs, soot in the mouth, hoarseness, and stridor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Singed nasal hairs, soot in the mouth, hoarseness, and stridor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Facial burns, singed eyebrows/nasal hair, carbonaceous sputum, and hoarseness warn of airway oedema - early intubation may be needed before swelling obstructs the airway.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coughing: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normal voice: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Clear nasal passages: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Parkland formula: 4 mL x %TBSA x weight (kg) of Ringer's lactate in 24 h - half in the first 8 hours from the time of burn.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Parkland: first 8 hours = half of the total 24-hour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escharotomy is performed in circumferential full-thickness burns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Relieve pressure from the unyielding burned tissue that can block circulation and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Dress the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skin for grafting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 infection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Relieve pressure from the unyielding burned tissue that can block circulation and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rigid eschar of a circumferential burn constricts like a tourniquet - cutting it (escharotomy) restores distal circulation and chest movement.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Dress the wound: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Remove skin for grafting: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Prevent infection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electrical burns, the nurse should be most concerned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Sunburn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internal injury 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Hidden deep tissue and cardiac damage at the entry/exit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superficial skin redness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Hidden deep tissue and cardiac damage at the entry/exit sites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Electricity follows deep tissue and can cause cardiac arrhythmias, myoglobinuria (renal failure), and severe internal damage with small skin wounds - ECG and urine monitoring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Sunburn: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internal injury 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superficial skin redness: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First aid for a chemical burn to the skin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Covering with dry bandage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Immediate, copious irrigation with water for at least 20-30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Applying butter or oil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Neutralizing with the opposite chemical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Immediate, copious irrigation with water for at least 20-30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Dilution and removal - flush with large volumes of water (remove contaminated clothing); neutralizing chemicals can generate heat and worsen injury, and dry powders are brushed off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Covering with dry bandage: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Applying butter or oil: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Neutralizing with the opposite chemical: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First action vs next action - in an unstable client, life-saving nursing care (ABC) comes before notifying the physician or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Parkland: first 8 hours = half of the total 24-hour fluid.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Tetanus prophylaxis for a client with a dirty wound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Tetanus toxoid booster (and immunoglobulin if poorly immunized) within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vaccination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Tetanus toxoid booster (and immunoglobulin if poorly immunized) within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Tetanus is prevented by wound cleaning plus toxoid boosters (Td) per schedule; tetanus immunoglobulin is added for high-risk wounds in inadequately immunized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Vitamin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vaccination: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Compartment syndrome after a fracture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warm pink extremity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Severe unrelieved pain, swelling, and pain on passive stretch of the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pulses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 pain relief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Severe unrelieved pain, swelling, and pain on passive stretch of the muscles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Pressure builds in a closed muscle compartment, cutting blood flow - the '5 Ps' (pain out of proportion, pallor, paresthesia, paralysis, pulselessness); it is an emergency needing fasciotomy.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warm pink extremity: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Normal pulses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Immediate pain relief: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Fat embolism syndrome most commonly follows: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mild sprain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wrist fracture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Fractures of the long bones (femur), presenting with hypoxia, petechiae, and confusion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Fractures of the long bones (femur), presenting with hypoxia, petechiae, and confusion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Marrow fat enters the blood after long-bone fractures - dyspnea, petechial rash on the chest, fever, and neurological changes hours to days later; early immobilization reduces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mild sprain: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wrist fracture: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injury: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care for a client with a fractured femur before surgery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Encouraging weight bearing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Immobilization, neurovascular checks, and pain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Removing all traction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Applying heat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Immobilization, neurovascular checks, and pain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Splinting/traction reduces pain and emboli risk; neurovascular status (pulse, colour, movement, sensation) is checked frequently to detect complications like compartment syndrome.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Encouraging weight bearing: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Removing all traction: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Applying heat: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an above-knee amputation, the nurse should position the limb: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Hanging off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 a flexed position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Flat and straight (no pillows under the knee) to prevent flexion contracture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Elevated on two pillows at the knee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Flat and straight (no pillows under the knee) to prevent flexion contracture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pillow under the knee promotes hip/knee flexion contracture, hampering prosthetic fitting - the residual limb stays extended, and phantom limb pain is managed with medication and desensitization.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Hanging off the bed: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 a flexed position: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Elevated on two pillows at the knee: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Normal oxygen saturation (SpO2) in a healthy adult at 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70-75%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95-100%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80-85%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95-100%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SpO2 of 95-100% is normal; below 90% is hypoxaemia requiring oxygen - targets differ for COPD (88-92%). Pulse oximetry is checked with the probe on a clean, well-perfused site.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70-75%: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80-85%: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50%: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Oxygen safety precautions include: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smoking or open flames near oxygen, and avoiding oil-based products on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Using oxygen near gas stoves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Keeping oxygen cylinders upright but near heaters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precautions are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No smoking or open flames near oxygen, and avoiding oil-based products on the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Oxygen supports combustion - 'No Smoking' signs, no flames, no petroleum-based lubricants, and cylinders secured away from heat are essential safety measures.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Using oxygen near gas stoves: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Keeping oxygen cylinders upright but near heaters: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precautions are needed: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nebulizer treatment delivers medication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fine mist of aerosolized drug inhaled over 10-15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suppository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tablet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 fine mist of aerosolized drug inhaled over 10-15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Nebulizers convert liquid drug to mist for deep inhalation - the client breathes normally through a mouthpiece or mask; the unit is cleaned after each use to prevent infection.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 injection: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suppository: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Incentive spirometry is used after surgery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atelectasis by encouraging slow, deep sustained breaths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pain medication need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Test lung capacity for a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blood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Prevent atelectasis by encouraging slow, deep sustained breaths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spirometer gives visual feedback for deep breathing, keeping alveoli inflated after anaesthesia/immobility - clients perform 10 breaths hourly while awake, splinting any incision.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pain medication need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Test lung capacity for a diagnosis: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after abdominal surgery is taught to splint the incision when coughing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Hide the scar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Prevent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Support the wound and reduce pain during effective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bed clean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Support the wound and reduce pain during effective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Holding a pillow firmly over the incision supports the wound and lessens pain, allowing a deep, effective cough that clears secretions and prevents pneumonia.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Hide the scar: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Prevent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 the bed clean: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Humidification of oxygen therapy is needed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Moisten the airways and prevent drying of the mucous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Make the oxygen heavier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 the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flow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Moisten the airways and prevent drying of the mucous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Medical gases are dry - humidifiers add moisture at higher flows, preventing nasal dryness, crusting, and discomfort during prolonged oxygen therapy.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Make the oxygen heavier: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 the oxygen: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Tracheostomy care should be performed: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Using sterile technique, cleaning the stoma, and replacing the inner cannula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weekly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bare hands and tap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By the client's family without training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Using sterile technique, cleaning the stoma, and replacing the inner cannula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stoma and inner cannula are cleaned with sterile saline/gauze to prevent infection and obstruction; the skin is dried and the ties kept snug but not tight.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weekly: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 bare hands and tap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By the client's family without training: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suctioning a tracheostomy,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Suction for 2 full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the same catheter for the nose and stoma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suction while inserting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Preoxygenate, insert the catheter without suction, and suction for no more than 10-15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Preoxygenate, insert the catheter without suction, and suction for no more than 10-15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Preoxygenation and brief, intermittent suction during withdrawal prevent hypoxia and mucosal injury; sterile single-use catheters and monitoring for bradycardia are standard.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Suction for 2 full minutes: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Use the same catheter for the nose and stoma: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Apply suction while inserting: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CPAP (continuous positive airway pressure) is used primarily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Obstructive sleep apnoea and respiratory support, keeping airways open with steady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Giving medications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Cooling the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Measuring blood sugar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Obstructive sleep apnoea and respiratory support, keeping airways open with steady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CPAP maintains positive pressure throughout the cycle - splinting the upper airway in sleep apnoea and improving oxygenation in respiratory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Giving medications: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Cooling the body: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Measuring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an unstable client, ABC comes before diagnostics - stabilise first, diagnose next.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BiPAP differs from CPAP in that BiPAP: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Gives the same pressure continuously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only for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Provides two pressure levels (higher during inspiration, lower during expiration)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Delivers no pressure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Provides two pressure levels (higher during inspiration, lower during expiration)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Bi-level positive airway pressure - higher IPAP on inspiration, lower EPAP on expiration - eases the work of breathing in COPD exacerbations and acute respiratory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Gives the same pressure continuously: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Is only for children: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Delivers no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Venturi mask is used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client eats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during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precise, constant oxygen concentration (FiO2) is required, as in COPD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flow rate is acceptable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 precise, constant oxygen concentration (FiO2) is required, as in COPD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Venturi masks entrain room air through calibrated ports, delivering an exact FiO2 (24-50%) - vital for COPD clients where precise low oxygen is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client eats: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during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Any flow rate is acceptable: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Methotrexate, used in chemotherapy, requires monitoring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body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 marrow function, liver enzymes, and renal function; folic acid rescue may be used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Bone marrow function, liver enzymes, and renal function; folic acid rescue may be used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Methotrexate - a folate antagonist - suppresses marrow and injures liver/kidneys; leucovorin (folinic acid) 'rescue' protects normal cells after high doses.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blood sugar: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body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monitoring: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Doxorubicin (Adriamycin), an anthracycline, is known for its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Kidney stones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Cardiotoxicity (heart failure) at cumulative high doses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Cardiotoxicity (heart failure) at cumulative high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Anthracyclines damage the heart muscle - ejection fraction is monitored and cumulative dose limits set; the drug also causes red urine and tissue damage if it leaks (extravasation).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Kidney stones: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Cisplatin, a platinum chemotherapy agent,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Hypoglycaemia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Nephrotoxicity and ototoxicity - hydration and renal monitoring are essential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Nephrotoxicity and ototoxicity - hydration and renal monitoring are essential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Cisplatin damages kidneys and the eighth nerve - IV hydration before/after, urine output monitoring, and audiometry are standard precautions.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Hypoglycaemia: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Vincristine, a vinca alkaloid, characteristically causes: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Peripheral neuropathy (tingling, weakness, constipation)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Photosensitivity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Cardiac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Bladder cancer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Peripheral neuropathy (tingling, weakness, constipation)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Vincristine injures peripheral nerves - numbness, foot drop, and severe constipation; it is a vesicant (tissue damage on extravasation) and never given intrathecally.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Photosensitivity: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Cardiac failure: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Bladder cancer: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Cyclophosphamide can cause haemorrhagic cystitis, which is prevented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Restricting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Plenty of fluids and frequent voiding (and mesna as ordered)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urination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Hot baths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Plenty of fluids and frequent voiding (and mesna as ordered)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drug's metabolite irritates the bladder - vigorous hydration, frequent emptying, and mesna (a uroprotectant) prevent bleeding from the bladder lining.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Restricting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Avoiding urination: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Hot baths: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Ondansetron, used in chemotherapy, works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Stimulating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Lowering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Sedating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Blocking serotonin (5-HT3) receptors to prevent nausea and vomiting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Blocking serotonin (5-HT3) receptors to prevent nausea and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Ondansetron - a 5-HT3 antagonist - blocks the vomiting reflex triggered by chemotherapy; it may prolong the QT interval and causes headache/constipation.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Stimulating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Lowering blood pressure: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Sedating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G-CSF (filgrastim) is given after chemotherapy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Stimulate neutrophil production, shortening the neutropenic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nausea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Raise haemoglobin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Stimulate neutrophil production, shortening the neutropenic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Filgrastim boosts bone marrow neutrophil counts after chemotherapy, reducing infection risk; bone pain is a common side effect.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Reduce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Prevent nausea: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Raise haemoglobin: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chemotherapy drug extravasates (leaks into tissue),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for all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the infusion faster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infusion, leave the needle in place, and follow the specific antidote protocol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Stop the infusion, leave the needle in place, and follow the specific antidote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Stop immediately, aspirate residual drug through the needle, then apply the agent-specific measure (heat/cold/antidote) and document - vesicants cause severe tissue necrosis if ignored.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heat for all drugs: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Continue the infusion faster: Never just observe or delay when the client is unstable.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Massage the area: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Neutropenic precautions for a chemotherapy client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Sharing fresh flowers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Hand hygiene, avoiding crowds and ill visitors, no raw foods, and prompt reporting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Skipping hand washing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Eating raw salads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Hand hygiene, avoiding crowds and ill visitors, no raw foods, and prompt reporting of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 low neutrophils, any infection is dangerous - protective measures and immediate evaluation of fever (cultures, antibiotics) are life-saving.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Sharing fresh flowers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Skipping hand washing: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Eating raw salads: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fetal heart rate baseline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 to 90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170 to 200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to 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110 to 160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110 to 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baseline of 110-160 bpm is reassuring; tachycardia (&gt;160) may reflect maternal fever or fetal hypoxia, and bradycardia (&lt;110) needs prompt evaluation.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60 to 90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170 to 200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40 to 60 beats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Baseline variability of the fetal heart rate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seen in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sign of cord compression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normal fluctuation of the heart rate around the baseline, reflecting fetal wellbeing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Always abnormal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normal fluctuation of the heart rate around the baseline, reflecting fetal wellbeing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Moderate variability (6-25 bpm) - the wiggle in the tracing - shows a healthy, well-oxygenated fetal nervous system; absent variability with decelerations is concerning.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seen in labour: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sign of cord compression: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Always abnormal: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Meconium-stained amniotic fluid at delivery is a concern because of the risk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Maternal diabetes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Meconium aspiration syndrome in the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Placenta praevia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Polyhydramnios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Meconium aspiration syndrome in the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Thick meconium suggests fetal stress - if inhaled, it can obstruct airways and cause chemical pneumonitis; airway suctioning is performed as per guidelines and the newborn observed.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Maternal diabetes: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Placenta praevia: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Polyhydramnios: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Indications for induction of labour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transverse lie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healthy term pregnancy at 38 weeks by choice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Previous caesarean with classical scar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Prolonged pregnancy, prelabour rupture of membranes, preeclampsia, and fetal compromise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Prolonged pregnancy, prelabour rupture of membranes, preeclampsia, and fetal compromise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Induction is done when continuing the pregnancy risks mother or fetus more than delivery; contraindications include placenta praevia, transverse lie, and a classical uterine scar.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transverse lie: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healthy term pregnancy at 38 weeks by choice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Previous caesarean with classical scar: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Prostaglandins (e.g., PGE2 gel) are used before induction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Dry up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Ripen (soften and dilate) the cervix, making it favourable for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Deliver the placenta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contractions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Ripen (soften and dilate) the cervix, making it favourable for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Cervical ripening with prostaglandins improves the Bishop score so oxytocin induction succeeds; uterine hyperstimulation is a risk requiring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Dry up milk: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Deliver the placenta: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Stop contractions: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partograph is used during labour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Plan the baby's diet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Record only maternal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Chart cervical dilatation, descent, contractions, and fetal heart to detect abnormal progress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hospital bills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Chart cervical dilatation, descent, contractions, and fetal heart to detect abnormal progress early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partograph - plotting dilatation against time with alert/action lines - identifies prolonged labour and guides timely referral, reducing obstructed labour and its disasters.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Plan the baby's diet: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Record only maternal weight: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Record hospital bills: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Uterine contractions during labour are assessed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maternal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Frequency, duration, and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fetal movements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colour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Frequency, duration, and intensity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Contractions are palpated - frequency (start to start, e.g., every 3 minutes), duration (e.g., 45-60 seconds), and intensity (mild/moderate/strong) - to gauge labour progress.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maternal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fetal movements: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Fetal scalp blood sampling is performed during labour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Deliver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maternal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fetal pH and confirm acidosis when the heart tracing is non-reassuring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Measure amniotic fluid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Measure fetal pH and confirm acidosis when the heart tracing is non-reassuring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When fetal monitoring is equivocal, scalp pH (normal above 7.25) distinguishes a well fetus from one needing urgent delivery - it is done after membranes rupture and cervix is dilated.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Deliver the baby: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Check maternal glucose: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Measure amniotic fluid: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Kernicterus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Bilirubin-induced brain damage from untreated severe neonatal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heart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type of pneumonia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skin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Bilirubin-induced brain damage from untreated severe neonatal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Unconjugated bilirubin crosses the blood-brain barrier in neonates, staining the basal ganglia - leading to choreoathetosis, deafness, and developmental delay; phototherapy/exchange transfusion prevent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heart defect: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type of pneumonia: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Respiratory distress syndrome (RDS) of the newborn is caused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Surfactant deficiency in preterm infants, causing alveolar collapse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Excess surfactant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bacterial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Maternal anaemia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Surfactant deficiency in preterm infants, causing alveolar collapse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Without surfactant the preterm alveoli collapse - grunting, retractions, and cyanosis within hours; antenatal steroids, surfactant replacement, and CPAP/ventilation treat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Excess surfactant: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bacterial infection: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Maternal anaemia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Surfactant therapy for RDS is given: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Through the umbilical vein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Subcutaneously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Intratracheally (into the lungs via the endotracheal tube)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Intratracheally (into the lungs via the endotracheal tube)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Exogenous surfactant - a liquid instilled down the endotracheal tube - coats the alveoli and improves oxygenation within minutes; the baby is repositioned to distribute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Through the umbilical vein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Subcutaneously: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Orally: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Necrotizing enterocolitis (NEC) in a preterm infant presents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Jaundice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skin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Abdominal distension, bloody stools, and feeding intolerance with pneumatosis on X-ray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Abdominal distension, bloody stools, and feeding intolerance with pneumatosis on X-ray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NEC - ischaemic gut injury in premature babies - needs bowel rest, antibiotics, and sometimes surgery; prevention focuses on cautious feeding and breast milk.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Jaundice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skin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cough: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Meconium aspiration syndrome is managed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Suctioning, oxygen/ventilation support, and monitoring for air leaks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Applying cold compresses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oral antibiotics to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Feeding the baby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Suctioning, oxygen/ventilation support, and monitoring for air leaks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Aspirated meconium obstructs airways and inflames lungs - the baby may need suction, oxygen, surfactant, and ventilation; pneumothorax risk is watched for.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Applying cold compresses: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Giving oral antibiotics to the mother: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Feeding the baby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Neonatal sepsis is suspected when a newborn shows: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happy, alert appearance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temperature and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Fever or hypothermia, poor feeding, lethargy, and respiratory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Fever or hypothermia, poor feeding, lethargy, and respiratory distress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Signs are subtle and non-specific - temperature instability, poor suck, irritability, apnea - so sepsis evaluation (cultures) and broad-spectrum antibiotics are started early.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happy, alert appearance: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Normal temperature and activity: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Newborn screening detects conditions such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Congenital hypothyroidism, phenylketonuria, G6PD deficiency, and sickle cell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fractures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colds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Congenital hypothyroidism, phenylketonuria, G6PD deficiency, and sickle cell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Dried blood spot testing on day 2-3 identifies treatable disorders - early thyroid hormone replacement and diet therapy prevent irreversible disability.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Dental caries: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fractures: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colds: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Hypocalcaemia in a newborn is suggested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Jitteriness, twitching, and seizures with low serum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Warm extremities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good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Sleepiness with normal tone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Jitteriness, twitching, and seizures with low serum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Early hypocalcaemia - common in preterms and infants of diabetic mothers - causes neuromuscular irritability; IV calcium gluconate is given slowly with cardiac monitoring.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Warm extremities: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good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Sleepiness with normal tone: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Pneumoconiosis is a general term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Heart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Eye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allergies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Lung diseases caused by inhalation of dust in the workplace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Lung diseases caused by inhalation of dust in the workplace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Pneumoconiosis - fibrosis of the lung from mineral dust - includes silicosis (silica), asbestosis (asbestos), and coal workers' pneumoconiosis (black lung).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Heart disease: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Eye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Skin allergies: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Silicosis, seen in miners and stone workers, results from inhaling: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Cement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Sugar dust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Silica dust, causing progressive lung fibrosis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Cotton dust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Silica dust, causing progressive lung fibrosis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silica inhalation triggers nodular fibrosis - cough and breathlessness years later; dust control, masks, and pre-employment screening protect workers.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Cement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Sugar dust: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Cotton dust: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Asbestos exposure is strongly linked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Mesothelioma and lung cancer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Cataracts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Mesothelioma and lung cancer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Asbestos fibres cause asbestosis, lung cancer, and mesothelioma - a rare cancer of the pleura; banning asbestos and protective gear are key preventive measures.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Dental caries: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Cataracts: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Noise-induced hearing loss is prevented in industry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Taking vitamins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protection (earplugs/muffs), engineering controls, and audiometric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Wearing gloves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Shouting less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Hearing protection (earplugs/muffs), engineering controls, and audiometric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Chronic noise above 85-90 dB damages cochlear hair cells irreversibly - control at source, ear protection, and regular audiometry are the standards.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Taking vitamins: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Wearing gloves: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Shouting less: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Heat stroke, a medical emergency, is treated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Wrapping the client in blankets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Waiting for the temperature to fall on its 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Rapid cooling (cold water immersion/ice packs), IV fluids, and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Giving hot tea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Rapid cooling (cold water immersion/ice packs), IV fluids, and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Heat stroke - core temperature over 40 degrees C with altered mentation - is fatal without rapid cooling; fluids, cooling, and organ support are given while temperature is lowered quickly.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Wrapping the client in blankets: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Waiting for the temperature to fall on its 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Giving hot tea: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Organophosphate pesticide poisoning is treated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Paracetamol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Atropine and pralidoxime (oximes), plus decontamination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Antacids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Atropine and pralidoxime (oximes), plus decontamination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Organophosphates block acetylcholinesterase - salivation, lacrimation, urination, diarrhoea, and muscle weakness; atropine counters muscarinic effects and pralidoxime reactivates the enzyme.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Paracetamol: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Antacids: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First aid for a snake bite includes: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Applying a tight tourniquet to cut blood flow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Immobilizing the limb, keeping the victim calm and still, and urgent transport for anti-venom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Cutting the wound and sucking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Rubbing alcohol on the bite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Immobilizing the limb, keeping the victim calm and still, and urgent transport for anti-venom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Snake bite care: reassure, immobilize below the heart, remove rings, do NOT cut/suck or use tourniquets, and reach a facility for anti-venom - the bite area is observed for swelling.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Applying a tight tourniquet to cut blood flow: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Cutting the wound and sucking 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Rubbing alcohol on the bite: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Intellectual disability is defined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learning difficulty only in school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Significant limitations in intellectual functioning (IQ below 70) and adaptive behaviour starting before age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Physical disability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Temporary stress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Significant limitations in intellectual functioning (IQ below 70) and adaptive behaviour starting before age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Intellectual disability - deficits in reasoning, problem-solving, and daily living skills - is categorized mild, moderate, severe, and profound; early intervention and training improve function.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learning difficulty only in school: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Physical disability: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Temporary stress: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Conduct disorder in children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Excessive worry about grades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Talking too much in class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Bedwetting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repetitive, persistent pattern of violating rules and the rights of others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 repetitive, persistent pattern of violating rules and the rights of others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Conduct disorder - aggression, destruction, deceit, and serious rule-breaking - needs family-based behavioural therapy; untreated, it predisposes to antisocial personality in adulthood.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Excessive worry about grades: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Talking too much in class: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Bedwetting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Tourette syndrome is characterized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 stammer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Fear of heights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Multiple motor tics and at least one vocal tic lasting over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Compulsive hand washing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Multiple motor tics and at least one vocal tic lasting over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Tourette - involuntary, repetitive motor and vocal tics (blinking, throat clearing, sometimes coprolalia) - peaks in childhood; habit reversal training and medication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a stammer: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Fear of heights: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Compulsive hand washing: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Selective mutism is best described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Refusing to 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language disorder from brain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Consistently failing to speak in specific situations (e.g., school) while speaking elsewhere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Consistently failing to speak in specific situations (e.g., school) while speaking elsewhere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Children with selective mutism speak freely at home but remain silent in school/social settings - anxiety-based; gradual exposure, positive reinforcement, and family involvement help.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Refusing to 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 language disorder from brain injury: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Not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kidneys are located: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chest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Retroperitoneally, one on each side of the vertebral column at the T12-L3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Inside the pelvis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front of the intestines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Retroperitoneally, one on each side of the vertebral column at the T12-L3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bean-shaped kidneys lie behind the peritoneum on the posterior abdominal wall - the right slightly lower than the left because of the liver.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 the chest: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Inside the pelvis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 front of the intestines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ureters transport urine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Muscular squeezing of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Gravity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Pumping by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Rhythmic peristaltic contractions from the kidneys to the bladder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Rhythmic peristaltic contractions from the kidneys to the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Smooth-muscle peristalsis in the ureter pushes urine along every 10-30 seconds; stones block this flow, causing renal colic.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Muscular squeezing of the bladder: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Gravity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Pumping by the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urinary bladder, which stores urine, has a normal capacity of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 litres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400-500 mL in an adult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400-500 mL in an adult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bladder holds roughly 400-500 mL; the urge to void begins around 150-250 mL, and the detrusor muscle contracts to empty it through the urethra.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 litres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50 mL: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Erythropoietin, the hormone that stimulates red blood cell production, is secreted by the: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Kidneys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Bone marrow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Kidneys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Kidney cells sense low oxygen and release erythropoietin, which drives marrow RBC production - chronic kidney disease causes anaemia from erythropoietin deficiency.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Spleen: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Bone marrow directly: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Liver: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RBC lifespan is about 120 days, destroyed mainly in the spleen.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Contact precautions are used for clients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influenza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airborne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MRSA, C. difficile, and wound infections - gloves and gown for all contact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MRSA, C. difficile, and wound infections - gloves and gown for all contact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Contact precautions - private room/cohort, gloves, gown, and dedicated equipment - prevent spread of resistant organisms and highly contagious skin/GI infections.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infections: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influenza: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airborne diseases: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Droplet precautions are required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Influenza, meningococcal meningitis, and pertussis - surgical mask within 1-2 metres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Measles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Chickenpox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Influenza, meningococcal meningitis, and pertussis - surgical mask within 1-2 metres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Droplets travel short distances - a surgical mask and close-contact precautions suffice; TB, measles, and chickenpox (small particles) need AIRBORNE precautions with N95 and negative pressure.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Measles: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Tuberculosis: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Chickenpox: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Airborne precautions for tuberculosis include: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surgical mask for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 N95 respirator (or higher), a negative-pressure isolation room, and keeping the door closed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Open windows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 N95 respirator (or higher), a negative-pressure isolation room, and keeping the door closed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TB bacilli travel in tiny droplet nuclei that stay suspended - respiratory protection (N95), negative pressure, and limiting entry protect staff and other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 surgical mask for everyone: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precautions: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Open windows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balanced diet is one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Provides all nutrients - energy, protein, fats, vitamins, minerals, and fibre - in the right proportions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Consists of sweets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Avoids all fats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Contains only one food group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Provides all nutrients - energy, protein, fats, vitamins, minerals, and fibre - in the right proportions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balanced diet meets daily needs from all food groups - cereals, pulses, vegetables, fruits, milk, and fats - in correct proportions for age, sex, and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Consists of sweets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Avoids all fats: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Contains only one food group: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five basic food groups in the Indian dietary model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rice, dal, and sweets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Cereals; pulses and legumes; vegetables and fruits; milk and milk products; fats and oils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Cereals; pulses and legumes; vegetables and fruits; milk and milk products; fats and oils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ICMR dietary guidelines divide foods into these five groups; a varied intake across groups with controlled fat and sugar promotes health and prevents deficiency.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rice, dal, and sweets: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fruits: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meat: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chi-square test is used to analyze: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Associations between categorical (nominal) variables, such as treatment and outcome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medians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Continuous means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Growth curves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Associations between categorical (nominal) variables, such as treatment and outcome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Chi-square compares observed and expected frequencies in tables (e.g., vaccination status vs infection) to test whether variables are related.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medians: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Continuous means: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Growth curves: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Informed consent in nursing research requires: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Forcing participation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explanation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Full information, voluntary participation, capacity to decide, and the right to withdraw anytime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Payment to participate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Full information, voluntary participation, capacity to decide, and the right to withdraw anytime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Ethical research - participants are told the purpose, risks, and benefits, decide freely, and may withdraw without penalty; ethics committees review protocols first.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Forcing participation: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explanation: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Payment to participate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incident (occurrence) report is filed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Document an unexpected event (falls, medication errors) to analyze causes and prevent recurrence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Charge the patient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Hide mistakes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Blame the nurse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Document an unexpected event (falls, medication errors) to analyze causes and prevent recurrence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incident report - completed separately from the medical record - triggers root-cause analysis and quality improvement, not punishment; it is confidential and risk-management focused.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Charge the patient: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Hide mistakes: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Blame the nurse: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NABH accreditation of a hospital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number of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building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Compliance with national quality and patient-safety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Financial profit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Compliance with national quality and patient-safety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NABH (National Accreditation Board for Hospitals) certification - voluntary, standards-based - demonstrates quality care, patient rights, infection control, and continuous improvement.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number of beds: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building 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Financial profit: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Frequency of a sound wave, measured in hertz, determines its: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Loudness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Pitch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Higher frequency = higher pitch (a whistle vs a drum); loudness depends on amplitude, not frequency.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Colour: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Loudness: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loudness of a sound depends mainly on its: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Amplitude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Frequency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Wavelength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Amplitude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Larger amplitude means more energy and a louder sound - measured in decibels; frequency sets pitch.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Frequency: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Wavelength alone: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echo is heard when sound: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Passes through walls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Reflects back from a distant surface, needing about 17 m of distance to be distinct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too quiet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absorbed by soft materials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Reflects back from a distant surface, needing about 17 m of distance to be distinct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reflects off large hard surfaces - the reflected wave returns after the original ends, giving an echo; soft materials absorb sound, preventing echoes.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Passes through walls: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too quiet: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absorbed by soft materials: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Doppler effect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Sound bending around corners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Light splitting into colours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apparent change in frequency of a wave due to relative motion between source and observer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change in pitch from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The apparent change in frequency of a wave due to relative motion between source and observer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An approaching siren sounds higher-pitched and a receding one lower - used in radar, ultrasound blood-flow (echocardiography), and astronomy to measure motion.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Sound bending around corners: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Light splitting into colours: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change in pitch from temperature: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intensity of sound is measured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Decibels (dB)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Watts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Decibels (dB)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Decibels - a logarithmic scale - measure loudness: a whisper is about 30 dB, normal speech 60 dB, and prolonged exposure above 85 dB damages hearing.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Hertz: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Watts: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Joules: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Infrasound refers to sound waves with frequencies: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Above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Exactly 440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Between 20 and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Below 20 Hz (inaudible to humans)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Below 20 Hz (inaudible to humans)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Humans hear 20 Hz to 20,000 Hz - below 20 Hz is infrasound (elephants communicate this way) and above 20,000 Hz is ultrasound (bats, medical imaging).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Above 20,000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Exactly 440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Between 20 and 20,000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audible range of human hearing is approximately: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0.1 to 1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Hz to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 Hz to 10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kHz to 1 MHz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20 Hz to 20,000 Hz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Healthy young adults hear 20-20,000 Hz; the upper limit falls with age (presbycusis), and ultrasound/infrasound lie outside this range.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0.1 to 1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 Hz to 10 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100 kHz to 1 MHz: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Sound travels fastest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Solids (e.g., steel), then liquids, then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Empty space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vacuum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Solids (e.g., steel), then liquids, then gases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Sound speed rises with density and stiffness of the medium - about 5,000 m/s in steel, 1,500 m/s in water, and 343 m/s in air; it cannot travel in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Empty space: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vacuum: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Air always: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Sound needs a medium - fastest in solids, slowest in gases, and cannot travel through a vacuum.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Sound: fastest in solids, zero in vacuum.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Noise pollution can cause: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Improved concentration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eye 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Hearing loss, hypertension, sleep disturbance, and 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 fractures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Hearing loss, hypertension, sleep disturbance, and stress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Chronic loud noise damages hearing and raises stress hormones - blood pressure and sleep problems; noise limits, silencers, and green belts are control measures.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Improved concentration always: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eye strain: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 fractures: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musical instrument, pitch is changed by altering: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performer's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temperature of the room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colour of the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length, tension, or thickness of the vibrating part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The length, tension, or thickness of the vibrating part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Short, thin, taut strings vibrate faster and produce higher pitch - guitar frets shorten the string, and flute holes change the air column length.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The performer's clothing: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The temperature of the room only: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The colour of the instrument: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Bharatanatyam, one of India's classical dance forms, originated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Bharatanatyam - from Tamil Nadu's temple tradition - features fixed 'adas' (stances), expressive abhinaya, and rhythmic footwork.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Assam: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Kathakali, known for elaborate costumes and painted faces, is the classical dance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Punjab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Kathakali - Kerala's dance-drama - uses codified facial expressions (navarasas), mudras, and makeup to enact mythological stories.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Manipur: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Gujarat: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Punjab: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Kuchipudi is the classical dance form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Andhra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 Bengal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Andhra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Kuchipudi - from Andhra's villages - blends dance, drama, and acrobatics (dancing on a brass plate, balancing a pot).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Tamil Nadu: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Odisha: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Odissi, with its characteristic 'tribhanga' (three-bend) posture, belongs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Bihar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Karnataka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Odisha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Odissi - from the temples of Odisha - is marked by the S-curve tribhanga stance and lyrical, flowing movements.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Bihar: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Maharashtra: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Karnataka: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Manipuri, a graceful classical dance, originates from: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Meghalaya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Nagaland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Mizoram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Manipuri - rooted in Vaishnavism - uses soft, circular movements, with the 'Ras Lila' as its centrepiece.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Meghalaya: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Nagaland: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Mizoram: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Sattriya, the classical dance introduced by the saint-reformer Srimanta Sankardeva, belongs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Tripura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Sikkim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Arunachal Pradesh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Assam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Sattriya - performed in Assam's Vaishnava monasteries (sattras) - was recognized as a classical dance form in 2000.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Tripura: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Sikkim: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Arunachal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Indian classical music, the Hindustani tradition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North India, while Carnatic music belongs to South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Tamil Nadu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North India, while Carnatic music belongs to South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Hindustani music (raga-based, with gharana traditions) flourishes in the north; Carnatic music - with its kriti compositions - is the southern tradition.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Only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Tamil Nadu: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sitar is classified as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Plucked string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Wind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Percussion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Keyboard instrument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Plucked string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sitar - with gourd resonators and movable frets - is plucked with a wire plectrum (mizrab); the tabla and mridangam are percussion, and the flute is wind.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Wind instrument: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Percussion instrument: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Keyboard instrument: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Bhangra, a high-energy folk dance, is associated with: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Kerala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Punjab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Bhangra - Punjab's harvest dance with vigorous leaps and drumbeats - has become a global pop-cultural phenomenon.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Rajasthan: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Maharashtra: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Kerala: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Garba, danced in circles around a lamp during Navratri, is the folk dance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West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Bihar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Garba - Gujarat's vibrant circle dance with rhythmic clapping and dandiya sticks - celebrates the goddess during Navratri.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West Bengal: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Bihar: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Madhya Pradesh: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20% of 640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(20/100) x 640 = 128.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138: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118: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108: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Two numbers are in the ratio 7:5 and their sum is 60. The smaller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Parts = 7 + 5 = 12; one part = 60/12 = 5; numbers are 35 and 25 - the smaller is 25.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Divide the total in the given ratio (sum of parts first).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7,500 at 10% per annum for 3 years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2,250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1,750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2,500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2,250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SI = (7500 x 10 x 3)/100 = Rs 2,250.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1,750: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2,000: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2,500: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36 km/h expressed in m/s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m/s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 m/s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km/h to m/s: multiply by 5/18. 36 x 5/18 = 10 m/s.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km/hr -&gt;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5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 m/s: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km/hr to m/s: multiply by 5/18.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km/hr x 5/18 = m/s.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area of a parallelogram with base 14 cm and height 9 cm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63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23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140 sq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126 sq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Area = base x height = 14 x 9 = 126 sq cm.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63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23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140 sq cm: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next term: 6, 11, 21, 36, 56, 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81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Differences are 5, 10, 15, 20 (multiples of 5); next difference 25: 56 + 25 = 81.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71: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76: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86: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A=1, B=2, C=3 and so on, how will ANT be coded?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11420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11240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14120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11420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11420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A=1, N=14, T=20, so ANT = 11420.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11240: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14120: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11420: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car travels 5 km South, turns left and travels 6 km East, then turns left and travels 5 km North. It is now: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km West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km East of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km South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the start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6 km East of the start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5S + 6E + 5N cancels the north-south movement, leaving the car 6 km East of the start.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Draw a small diagram - each turn changes direction by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6 km West: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 km South: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At the start: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 is the husband of P. M is the father of N. N is the sister of O. How is P related to O?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Sister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P is M's wife and M is N and O's father; since N is O's sister, O is also M's child - so P is O's mother.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Grandmother: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Sister: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Aunt: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 March 2024 is a Friday, then 1 April 2024 is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Sunday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March has 31 days; 31 = 4 weeks + 3 days; Friday + 3 = Monday.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Wednesday: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Tuesday: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Sunday: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