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of the liver is at highest risk for which complication?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Renal stones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Deep vein thrombosis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Hepatic encephalopathy, ascites, and esophageal varices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Hepatic encephalopathy, ascites, and esophageal varices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Cirrhosis - scarring and loss of liver function - leads to portal hypertension with ascites and varices, and impaired ammonia detoxification causing hepatic encephalopathy.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Hyperglycemia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Renal stones: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Deep vein thrombosis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notify the provider if a client taking lactulose for hepatic encephalopathy develops: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bowel movement for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2-3 soft stools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 and confusion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diarrhea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2-3 soft stools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Lactulose acidifies the colon, trapping ammonia - the goal is 2-3 soft stools daily; less indicates underdosing, while severe diarrhea risks dehydration and electrolyte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bowel movement for 3 days: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 and confusion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Severe diarrhea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pancreatitis is placed on NPO. The primary reason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Decrease pancreatic stimulation and allow the pancreas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gastric acid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Decrease pancreatic stimulation and allow the pancreas to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Food stimulates pancreatic enzyme secretion - NPO, NG suction, and IV fluids reduce stimulation; pain management and monitoring for complications (necrosis, pseudocyst)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Reduce gastric acid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duodenal ulcer most characteristically describes pain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sharp and continuous for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Occurs 2-3 hours after meals and is relieved by food or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worst immediately after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 occurs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Occurs 2-3 hours after meals and is relieved by food or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Duodenal ulcer pain is classic: gnawing epigastric pain 2-3 hours after meals, worse at night, relieved by food and antacids; gastric ulcer pain is worsened by food.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sharp and continuous for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worst immediately after 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Never occurs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colostomy should be taught that the greatest dietary concern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Eating only liquids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Drinking no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all fiber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Chewing food well and avoiding gas-forming foods to reduce flatus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Chewing food well and avoiding gas-forming foods to reduce flatus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Gas and odor are the main complaints - slow eating, chewing well, and identifying personal gas-forming triggers (beans, cabbage, carbonated drinks) help; fiber is actually encouraged in moderation.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Eating only liquids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Drinking no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all fiber: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Following a thyroidectomy, the nurse should keep which item at the bedside?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Tracheostomy tray and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Defibrillator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Ice packs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Wheelchair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Tracheostomy tray and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Post-thyroidectomy risks are airway obstruction from hemorrhage/edema (tracheostomy tray) and hypocalcemia from parathyroid injury (calcium gluconate) causing tetany and laryngospasm.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Defibrillator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Ice packs: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Wheelchair: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sign of hypocalcemia after thyroid or parathyroid surgery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thirst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Tingling and numbness of the fingers and circumoral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Tingling and numbness of the fingers and circumoral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Perioral and fingertip paresthesias are the first signs of hypocalcemia - Chvostek and Trousseau signs follow, then muscle spasms and tetany; calcium is given promptly.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Severe thirst: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Addison's disease should be taught to increase dietary intake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Salt (sodium) and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Sugar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Protein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Salt (sodium) and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Addison's disease - adrenal insufficiency - causes sodium loss and hypotension; sodium and fluid intake are increased (and mineralocorticoid replacement given) to prevent crisis.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Potassium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Sugar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Protein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Cushing's syndrome is characterized by which classic physical finding?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hypertrophy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Sallow pigmented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Moon face, buffalo hump, and central obesity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weight loss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Moon face, buffalo hump, and central obesity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Excess cortisol causes central obesity, moon face, buffalo hump, striae, hyperglycemia, osteoporosis, and poor wound healing - from exogenous steroids or adrenal/pituitary tumors.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Muscle hypertrophy: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Sallow pigmented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Severe weight loss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Cushing's triad = bradycardia, hypertension, irregular respirations - late sign of raised ICP.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diabetic ketoacidosis has a serum potassium of 5.8 mEq/L on admission. The nurse understands this is most likely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client ate too much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Insulin pushed potassium into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kidneys excreted no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Acidosis shifts potassium out of cells into the blood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Acidosis shifts potassium out of cells into the blood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DKA, hydrogen ions enter cells and potassium shifts out - total body potassium is actually DEPLETED, so as insulin and fluids are given, potassium drops and must be replaced to prevent hypokalemia.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5.8 meq | Most Likely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client ate too much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Insulin pushed potassium into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kidneys excreted no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method of temperature measurement is the most accurate reflection of core body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Axillary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Rectal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rectal temperature is closest to core temperature (about 0.5 degree C higher than oral); tympanic and temporal are also reliable, axillary is the least accurate.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Axillary: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assessing an adult client, the nurse considers the normal resting pulse rate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110-150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100-140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40-60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60-100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60-100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adult resting pulse is 60-100 bpm; trained athletes may be 50-60; above 100 is tachycardia and below 60 is bradycardia (unless athletic).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110-150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100-140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40-60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client's blood pressure is 150/94 mmHg. This is classified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Stage 2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Elevated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Stage 2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 ACC/AHA 2017 guidelines: normal below 120/80; elevated 120-129 and below 80 diastolic; stage 1 is 130-139/80-89; stage 2 is 140 or higher systolic or 90 or higher diastolic. 150/94 is stage 2 hypertension.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Elevated: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Hypotension: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measuring a client's blood pressure with a cuff that is too small. The reading will most likely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Unreadable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Unaffected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Falsely 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Falsely high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Falsely 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cuff that is too narrow or too short overcompresses the artery, giving a falsely high reading; too large a cuff gives a falsely low reading.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Unreadable: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Unaffected: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Falsely 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client position is used to relieve orthopnea?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Fowler's (sitting upright)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supine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High Fowler's (sitting upright)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 Fowler's position (45-90 degrees) allows gravity to reduce venous return and ease lung expansion - essential for clients with dyspnea, orthopnea, or after thoracic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Trendelenburg: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Flat supine: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needs to give an enema to an adult client. The client should be positioned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lateral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lateral (Sims')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Left lateral (Sims')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left lateral position lets gravity aid flow along the descending colon; the solution is warmed, the bag kept below 45 cm, and the client retains it as long as possible.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Right lateral: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Supine: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applying a condom catheter,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it to wet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a 2.5-5 cm gap between the glans and the sheath and secure without constriction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Tape directly over the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Pull the sheath tightly over the glans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Leave a 2.5-5 cm gap between the glans and the sheath and secure without constriction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gap prevents skin breakdown and ulceration; the sheath is applied to dry, clean skin and the retention ring is not too tight to avoid ischemia.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it to wet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Tape directly over the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Pull the sheath tightly over the glans: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that a client's indwelling catheter bag is positioned above the level of the bladder.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Clamp the catheter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 the bag below the bladder to prevent backflow of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Raise it higher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it - position does not matter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Lower the bag below the bladder to prevent backflow of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drainage bag must stay below the bladder so urine does not reflux into the bladder, which causes infection; the bag is also kept off the floor.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Clamp the catheter: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Raise it higher: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Leave it - position does not matter: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action best prevents surgical site infection during postoperative dressing change?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Reusing the old dressing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Strict sterile technique with clean gloves and sterile supplies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Touching the wound with bare hands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Changing the dressing hourly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Strict sterile technique with clean gloves and sterile supplies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Aseptic technique - hand hygiene, sterile gloves, sterile supplies, and the no-touch method - prevents introducing organisms into the wound.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Reusing the old dressing: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Touching the wound with bare hands: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Changing the dressing hourly: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atelectasis and pneumonia, a client in the immediate postoperative period should be turned, coughed, and deep-breathed every: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Every 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Once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Turning, coughing, and deep breathing every 2 hours while awake expands alveoli and clears secretions; incentive spirometry is used 10 times per hour while awake.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Every 30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Once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to transfer a client from the bed to a wheelchair. The correct technique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brakes unlocked for easy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Lift the client by the arms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Position the wheelchair far from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Lock the wheelchair brakes and position it at a 45-degree angle to the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Lock the wheelchair brakes and position it at a 45-degree angle to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Locked brakes and a 45-degree angle allow a safe pivot transfer with the client's stronger side leading; the nurse uses body mechanics and assist devices.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Leave the brakes unlocked for easy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Lift the client by the arms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Position the wheelchair far from the bed: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to administer an IV infusion of potassium chloride. The correct technique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Infuse it at the fastest pump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give potassium as an IV bolus or push - it is always diluted and infused slowly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it as a rapid IV push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 it directly to a blood transfusion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Never give potassium as an IV bolus or push - it is always diluted and infused slowly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IV potassium is NEVER pushed - it is diluted in IV fluid and infused at a controlled rate (usually not above 10-20 mEq/hour peripherally) because rapid infusion causes fatal cardiac arrest.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Infuse it at the fastest pump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it as a rapid IV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Add it directly to a blood transfusion: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atenolol has an apical pulse of 48 beats per minute.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dose and monitor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dose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dose and notify the provider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Hold the dose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Beta-blockers slow the heart rate - a pulse below 50-60 bpm is usually a hold parameter; the provider is notified for a possible dose adjustment.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the dose and monitor: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Double the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the dose with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an order for which medication in a client with asthma?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Prednisolone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Salbutamol (albuterol)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Propranolol (a non-selective beta-blocker)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Ipratropium bromide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Propranolol (a non-selective beta-blocker)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Non-selective beta-blockers can precipitate bronchospasm and are avoided in asthma; beta-2 agonists (salbutamol), steroids, and anticholinergics (ipratropium) are used to treat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Prednisolone: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Salbutamol (albuterol):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Ipratropium bromide: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drug is used as a bronchodilator in the immediate management of an acute asthma attack?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Inhaled short-acting beta-2 agonist (salbutamol)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Beta-blockers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Inhaled short-acting beta-2 agonist (salbutamol)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Inhaled SABA (salbutamol/albuterol) is first-line for acute bronchospasm - rapid onset, relaxes airway smooth muscle; steroids reduce inflammation, and oxygen is given for hypoxia.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Beta-blockers: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isoniazid for tuberculosis. The nurse should teach the client to report: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Numbness and tingling of the hands and feet (peripheral neuropathy)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Slight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fatigue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Numbness and tingling of the hands and feet (peripheral neuropathy)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INH causes peripheral neuropathy by interfering with vitamin B6 - pyridoxine is given with it; jaundice, dark urine, and fatigue would suggest hepatitis, also reportable.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Slight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Mild fatigue: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oral contraceptives to report immediately: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Spotting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Calf pain, chest pain, or severe headache - signs of thromboembolism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Mild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Breast tenderness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Calf pain, chest pain, or severe headache - signs of thromboembolism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OCPs increase thromboembolism risk - unilateral leg pain, chest pain, dyspnea, and severe headache require immediate evaluation; smoking raises the risk further.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Spotting: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Mild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Breast tenderness: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phenytoin for seizures should be taught that the drug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Immediate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Permanent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Loss of all teeth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Gum hyperplasia (overgrowth of the gums) - requiring good oral hygiene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Gum hyperplasia (overgrowth of the gums) - requiring good oral hygiene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Phenytoin commonly causes gingival hyperplasia, hirsutism, and rash - gum massage and meticulous oral hygiene help; levels are monitored for toxicity (nystagmus, ataxia).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Immediate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Permanent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Loss of all teeth overnight: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benzodiazepine overdose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Atropine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Protamine sulfate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Flumazenil reverses benzodiazepine sedation; naloxone reverses opioids; atropine reverses cholinergic toxicity (e.g., organophosphates).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Naloxone: Naloxone reverses opioid (narcotic) overdose - a different antidote situation.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Atropine: Atropine is an anticholinergic used in organophosphate poisoning and bradycardia.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Protamine sulfate: Protamine sulfate reverses heparin - not warfarin.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Antidotes: heparin -&gt; protamine sulfate, warfarin -&gt; vitamin K, opioids -&gt; naloxone, benzodiazepines -&gt; flumazenil,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metformin should be taught to stop the drug and seek care if: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She feels slightly tired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She develops severe vomiting and diarrhea or undergoes a contrast study - risk of lactic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She skips a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Her blood sugar is normal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She develops severe vomiting and diarrhea or undergoes a contrast study - risk of lactic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Metformin is held during acute illness, dehydration, renal dysfunction, and before contrast imaging to prevent lactic acidosis; renal function is checked before starting.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She feels slightly tired: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She skips a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Her blood sugar is normal: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anterior fontanelle of a newborn normally closes by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12-18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2-3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12-18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anterior fontanelle - the diamond-shaped soft spot - closes between 12 and 18 months as the skull bones grow; the posterior fontanelle closes by 2-3 months.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2-3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36 weeks reports rhythmic uterine contractions every 6 minutes.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Tell her to push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her a sleeping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Send her home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for true versus false labour - vaginal exam, fetal heart, and contraction pattern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for true versus false labour - vaginal exam, fetal heart, and contraction pattern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Contractions alone do not confirm labour - true labour contractions are regular, increase in frequency/duration, and produce cervical change; false labour (Braxton Hicks) stops with walking.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36 weeks | 6 minutes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Tell her to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her a sleeping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Send her home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identifies that a labouring client is in the active phase of the first stage when the cervix is dilated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About 4-6 cm with regular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cm with pushing urge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Fully dilated (10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About 4-6 cm with regular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stage has latent (0-3 cm, slow) and active (4-10 cm, rapid dilatation) phases; the second stage begins at full dilatation (10 cm) with the urge to push.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8 cm with pushing urge: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Fully dilated (10 cm):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cm: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an early deceleration of the fetal heart rate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Placental insufficiency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Head compression during uterine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Umbilical cord compression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Head compression during uterine contractions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decelerations - mirror-image slowing with the contraction - result from fetal head compression and are benign; variable decelerations indicate cord compression; late decelerations indicate uteroplacental insufficiency.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Placental insufficiency: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Maternal fever: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Umbilical cord compression: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late deceleration on the fetal monitor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hiccups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Uteroplacental insufficiency - the nurse should reposition, give oxygen,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fetal sleep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Uteroplacental insufficiency - the nurse should reposition, give oxygen,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Late decelerations begin after the contraction peak and reflect poor oxygen delivery - the priority interventions are left lateral positioning, IV fluids, oxygen, and stopping oxytocin while the provider is notified.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Head compression: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Fetal hiccups: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fetal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Variable decelerations of the fetal heart rate are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Fetal anemia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head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Umbilical cord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hypertension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Umbilical cord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Variable decelerations - abrupt V-shaped drops - indicate cord compression; repositioning the mother and amnioinfusion may relieve them; the classic response is to change maternal position.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Fetal anemia: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Fetal head compression: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hypertension: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rupture of membranes, the nurse should immediately: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Perform a vaginal exam without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mother a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Assess the fetal heart rate for cord prolapse and note fluid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Assess the fetal heart rate for cord prolapse and note fluid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Rupture of membranes risks cord prolapse - FHR is assessed first, then fluid colour (clear, meconium-stained, or bloody) is documented; maternal temperature is monitored for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Perform a vaginal exam without gloves: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the mother a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pregnant client to report which danger sign?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Vaginal bleeding, severe headache, or decreased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backache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Heartburn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Swelling of the feet in the evening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Vaginal bleeding, severe headache, or decreased fetal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Bleeding, severe headache with visual changes (pre-eclampsia), and decreased fetal movement are danger signs requiring immediate care; mild backache, heartburn, and evening foot swelling are common discomforts.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backache: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Heartburn: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Swelling of the feet in the evening: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the best method to prevent dental caries in a toddler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Using sugar water in bottles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all dental visits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bedtime bottles of milk or juice and cleaning teeth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Giving sweets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Avoiding bedtime bottles of milk or juice and cleaning teeth after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Nursing bottle caries results from prolonged bottle use at sleep - parents are taught to avoid bedtime bottles, brush/wipe teeth, and schedule dental visits.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Using sugar water in bottles: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Avoiding all dental visits: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Giving sweets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3-year-old child is admitted with croup (laryngotracheobronchitis).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child calm and use cool mist or humidified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the child to lie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crying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hot spicy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Keep the child calm and use cool mist or humidified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Croup - barking cough, stridor, hoarseness - is eased by humidified air and minimizing agitation; severe cases need steroids and nebulized epinephrine.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the child to lie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Encourage crying: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hot spicy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suspect epiglottitis (a medical emergency) when a child presents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Sudden high fever, drooling, muffled voice, and tripod positioning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runny nose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Low-grade fever and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barking cough with hoarseness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Sudden high fever, drooling, muffled voice, and tripod positioning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Epiglottitis - rapid airway obstruction - shows the '4 Ds': drooling, dysphagia, distress, and dysphonia, with the child sitting forward (tripod); the throat is NEVER examined without airway equipment ready.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Mild runny nose: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Low-grade fever and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barking cough with hoarseness: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daily dose of oral vitamin A given to a child with xerophthalmia as part of treatment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200,000 IU (repeated next day and again after 4 weeks in severe cases)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IU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 IU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1,000 IU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200,000 IU (repeated next day and again after 4 weeks in severe cases)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WHO treatment schedule for xerophthalmia in children 12 months and older is 200,000 IU on day 1, day 2, and again at 4 weeks; younger children receive 100,000 IU.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500 IU: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 IU: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1,000 IU: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diarrhea and some dehydration should be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Carbonated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fluids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rehydration solution (ORS) after each loose stool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Plain water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Oral rehydration solution (ORS) after each loose stool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ORS replaces water and electrolytes lost in diarrhea - 50-100 mL per loose stool for young children under 2 years, more for older children; zinc supplementation is also given for 14 days.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Carbonated drinks: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fluids for 24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Plain water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accurate way to assess dehydration severity in a child with diarrhea is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turgor, mucous membranes, and urine output (WHO plan A/B/C criteria)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of the child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Number of stools in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Temperature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Skin turgor, mucous membranes, and urine output (WHO plan A/B/C criteria)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Clinical signs - skin turgor, sunken eyes, dry mouth, thirst, and urine output - classify dehydration as none, some, or severe; severe dehydration needs IV fluids (plan 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of the child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Number of stools in one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Temperature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and shock should receive which fluid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Full-strength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Fruit juice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IV Ringer's lactate or normal saline, 20 mL/kg over 1 hour (WHO plan C)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IV Ringer's lactate or normal saline, 20 mL/kg over 1 hour (WHO plan C)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Severe dehydration is an emergency - rapid IV rehydration (20 mL/kg over 1 hour, repeated until pulse returns) is given, then ORS once the child can drink.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Full-strength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Fruit juice: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a child with febrile convulsions is usually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Cooling measures and antipyretics while the fever is controlled - most febrile seizures are brief and benign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Tying the child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the child food during the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Cold water sponging with alcohol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Cooling measures and antipyretics while the fever is controlled - most febrile seizures are brief and benign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Simple febrile seizures (6 months-5 years) are brief, generalized, and benign - management focuses on lowering fever (antipyretics, light clothing) and reassuring parents.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Tying the child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the child food during the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Cold water sponging with alcohol: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duration of exclusive breastfeeding and the timing of complementary feeding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Breastfeeding for 1 month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Exclusive breastfeeding for 6 months, then complementary foods with continued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Complementary foods from day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cow's milk from birth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Exclusive breastfeeding for 6 months, then complementary foods with continued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WHO/UNICEF recommend exclusive breastfeeding for the first 6 months and continued breastfeeding up to 2 years or beyond alongside appropriate complementary feeding from 6 months.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Breastfeeding for 1 month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Complementary foods from day 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cow's milk from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Mid-Day Meal Scheme in India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uniforms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all home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free textbooks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 the nutritional status of school-age children and increase school attendance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Improve the nutritional status of school-age children and increase school attendance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Mid-Day Meal (PM POSHAN) scheme provides cooked meals to school children - improving nutrition, reducing classroom hunger, and boosting enrolment and attendance.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uniforms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Replace all home meals: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Provide free textbooks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correct method to prepare ORS at home when packets are unavailable?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Mix 6 spoons of salt in 1 litre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Add sugar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Mix 6 level teaspoons of sugar and half a teaspoon of salt in 1 litre of clean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any dirty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Mix 6 level teaspoons of sugar and half a teaspoon of salt in 1 litre of clean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Home-made ORS: 6 level teaspoons of sugar + half a teaspoon of salt in 1 litre of clean drinking water - too much salt or sugar worsens dehydration; packets are preferred.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Mix 6 spoons of salt in 1 litre: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Add sugar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Use any dirty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identifies an outbreak of chickenpox in a village. The first step in outbreak investigation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for the outbreak to end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 all schools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Confirm the diagnosis and verify the existence of an outbreak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Vaccinate the whole district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Confirm the diagnosis and verify the existence of an outbreak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Outbreak investigation steps: confirm diagnosis, verify outbreak, define and identify cases, collect data, implement control measures (isolation, vaccination), and evaluate.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for the outbreak to end: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Close all schools forever: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Vaccinate the whole district: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vertical transmission of HIV from mother to child can occur: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through kissing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through hugging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Through mosquito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During pregnancy, labour and delivery, and breastfeeding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During pregnancy, labour and delivery, and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HIV can pass in utero, intrapartum, and via breast milk - prevention uses maternal ART, safe delivery practices, and avoiding breastfeeding where replacement feeding is acceptable.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through kissing: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through hugging: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Through mosquito bites: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Immunization Schedule recommends the first dose of MMR vaccine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first MMR dose is given at 9 months (a second dose at 15 months); measles is dangerous in infancy, but maternal antibodies interfere with earlier vaccination.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First | MMR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weeks: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Birth: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years: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'5 cleans' during childbirth promoted to prevent infection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 hands, clean perineum, clean delivery surface, clean cord cutting, and clean cord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Clean clothes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 bed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Clean hands, clean perineum, clean delivery surface, clean cord cutting, and clean cord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five cleans reduce maternal and newborn sepsis: clean hands, clean perineum, clean surface, clean cord-cutting instruments, and clean cord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Clean water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Clean clothes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Clean bed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depression tells the nurse, 'There is no point in living anymore.' The priority nursing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 for suicidal intent, plan, and means - implement suicide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remark as attention-seeking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Discharge the client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Tell the client to think positively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Assess for suicidal intent, plan, and means - implement suicide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Any statement of hopelessness warrants a direct, non-judgmental suicide risk assessment (intent, plan, means, previous attempts) and protective measures if risk is present.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Ignore the remark as attention-seeking: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Discharge the client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Tell the client to think positively: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the manic phase is at risk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Sedentary behavior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Social withdrawal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 from bed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Injury from hyperactivity and impulsive behavior, and exhaustion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Injury from hyperactivity and impulsive behavior, and exhaustion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Mania - euphoria, grandiosity, pressured speech, decreased sleep, impulsivity - risks physical injury, dehydration, and exhaustion; care includes structure, safety, and reduced stimulation.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Sedentary behavior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Social withdrawal: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 from bed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Lithium toxicity risk rises with hyponatraemia and dehydration - monitor serum lithium and sodium.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therapeutic communication technique of restating means the nurse: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Changes the topic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Repeats the client's message in the client's own words to confirm understanding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Gives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Silently judges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Repeats the client's message in the client's own words to confirm understanding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Restating (paraphrasing) the client's exact words back encourages clarification and shows the client is heard - one of the core therapeutic communication techniques.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Changes the topic: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Gives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Silently judges: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SBAR: Situation, Background, Assessment, Recommendation - a structured hand-off tool.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post-traumatic stress disorder is most likely to exhibit: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Complete amnesia of all events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Grandiose delusions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Flashbacks, hypervigilance, and avoidance of trauma reminders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Excessive sleep and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Flashbacks, hypervigilance, and avoidance of trauma reminders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PTSD follows a traumatic event - re-experiencing (flashbacks, nightmares), avoidance, negative mood, and hyperarousal (startle, insomnia) for more than a month.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Complete amnesia of all events: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Grandiose delusions: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Excessive sleep and weight gain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exchange of oxygen and carbon dioxide between the alveoli and the blood occurs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Filtration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Active transport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Simple diffusion across the alveolar-capillary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Osmosis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Simple diffusion across the alveolar-capillary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Gas exchange is passive diffusion driven by partial pressure gradients - oxygen moves into blood and carbon dioxide moves out across the thin alveolar-capillary membrane.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Filtration: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Active transport: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Osmosis: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responsible for the 'fight or flight' response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Adrenaline (epinephrine) from the adrenal medulla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Thyroxine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Parathyroid hormone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Adrenaline (epinephrine) from the adrenal medulla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adrenal medulla releases adrenaline and noradrenaline - increasing heart rate, blood pressure, and blood glucose during stress; cortisol from the cortex handles long-term stress.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Thyroxine: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Parathyroid hormone: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total number of permanent teeth in an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Adults have 32 permanent teeth (8 incisors, 4 canines, 8 premolars, 12 molars); children have 20 deciduous (milk) teeth.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28: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ADH and oxytocin are made in the hypothalamus but released by the POSTERIOR pituitary.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structure connects the two cerebral hemispheres?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Spinal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Corpus callosum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Corpus callosum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corpus callosum is the large band of nerve fibers connecting the left and right hemispheres, allowing communication between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Spinal cord: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Cerebellum: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agent of cholera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Escherichia coli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Salmonella typhi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Shigella dysenteriae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Vibrio cholerae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Cholera - rice-water stools and severe dehydration - is caused by Vibrio cholerae, transmitted by contaminated water; treatment is ORS and IV fluids, with antibiotics as adjuncts.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Escherichia coli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Salmonella typhi: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Shigella dysenteriae: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Malaria is transmitted by the bite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Female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Aedes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Housefly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Female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Plasmodium is transmitted by the female Anopheles mosquito; Aedes transmits dengue, chikungunya, and Zika; Culex transmits filariasis and Japanese encephalitis.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Culex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Aedes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Housefly: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pathogen causes diphtheria?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Streptococcus pyogenes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Corynebacterium diphtheriae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Clostridium tetani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Mycobacterium tuberculosis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Corynebacterium diphtheriae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Corynebacterium diphtheriae produces an exotoxin causing a grey pseudomembrane in the throat and airway obstruction; DPT vaccine prevents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Streptococcus pyogenes: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Clostridium tetani: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Mycobacterium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dietary source of iodine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Iodized salt and sea fish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Iodized salt and sea fish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Iodized salt and seafood are the main iodine sources - deficiency causes goiter and cretinism; universal salt iodization is a key public health measure.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Marasmus and kwashiorkor are forms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Overhydration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Mineral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Protein-energy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Protein-energy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PEM includes marasmus (severe wasting, all nutrients) and kwashiorkor (protein deficiency with edema, 'flaky paint' skin, and fatty liver) - both common in early childhood.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Overhydration: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Mineral toxicity: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deficiency: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Kwashiorkor = oedema + pot belly (protein); marasmus = wasting (calories).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study that tests a new nursing intervention by comparing an experimental group with a control group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Randomized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report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Literature review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Randomized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RCT randomly assigns subjects to intervention and control groups and is the gold standard for testing effectiveness; surveys describe, case reports narrate single cases.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Case report: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Survey: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Literature review: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research study, the group that receives no intervention and serves as the comparison is called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Sample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Control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Population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Experimental group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Control group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control group provides the baseline for comparison; the experimental group receives the intervention; the sample is drawn from the population.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Sample: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Population: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Experimental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'5 rights' of delegation include the right task, right person, right communication, right supervision, and: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circumstance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uniform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salary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Right circumstance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five rights: right task, right circumstance, right person, right direction/communication, and right supervision/evaluation - ensuring safe delegation.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Right hospital: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Right uniform: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Right salary: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SBAR: Situation, Background, Assessment, Recommendation - a structured hand-off tool.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Nursing audit is primarily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Evaluate the quality of nursing care against established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patient 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Fix staff salaries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nurses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Evaluate the quality of nursing care against established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nursing audit reviews records and care against standards to measure and improve the quality of care - a core tool of quality assurance.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patient load: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Fix staff salaries: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Punish nurses: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SI unit of electric current?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Electric current is measured in amperes; volt measures potential difference, ohm measures resistance, and watt measures power.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Ohm: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Volt: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a solid changes directly into a gas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Evaporation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Sublimation is the direct solid-to-gas transition (camphor, dry ice); evaporation is liquid to gas; condensation is gas to liquid.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Condensation: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Evaporation: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deficiency causes scurvy?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Scurvy - bleeding gums, poor wound healing, and fatigue - results from vitamin C deficiency; rickets from vitamin D; night blindness from vitamin 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Vitamin 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 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quick lime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Ca(OH)2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CaSO4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CaO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Quick lime is calcium oxide (CaO); slaked lime is Ca(OH)2; limestone is CaCO3; plaster of Paris is CaSO4.1/2H2O.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CaCO3: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Ca(OH)2: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CaSO4: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NOT a state of matter?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Solid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Liquid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Solid, liquid, gas, and plasma are states of matter; energy is not matter but a property or quantity.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Solid: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Liquid: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speed of light in a vacuum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x 10^10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x 10^4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x 10^6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 x 10^8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 x 10^8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Light travels at about 299,792,458 m/s (3 x 10^8 m/s) in vacuum; sound travels at about 343 m/s in air - hence lightning is seen before thunder.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 x 10^10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x 10^4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x 10^6 m/s: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organ of the human body produces insulin?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Beta cells of the pancreatic islets of Langerhans produce insulin; the liver stores glycogen, and the kidneys filter blood.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Stomach: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Kidney: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Liver: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 of force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Force is measured in newtons (kg.m/s^2); joule is energy/work; pascal is pressure; watt is power.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Pascal: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pure substance?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Distilled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Sea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Distilled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Distilled water is a pure compound (H2O); sea water, milk, and air are mixtures of multiple substances.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Milk: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Sea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chromosomes in a normal human body cell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Humans have 46 chromosomes (23 pairs) in somatic cells - 22 pairs of autosomes and one pair of sex chromosomes; gametes have 23.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Organelles: mitochondria make ATP ('powerhouse'), ribosomes make proteins, Golgi packages, nucleus stores DNA.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Mitochondria = powerhouse of the cell; ribosomes = protein factories.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census of independent India was conducted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1931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1961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1951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first census of independent India was held in 1951 - censuses have been conducted every 10 years since, under the Census of India Act.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1931: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1947: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1961: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animal of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Bengal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Elephant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Bengal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Royal Bengal tiger is India's national animal; the peacock is the national bird, and the lotus is the national flower.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Leopard: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Elephant: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Satyagraha movement was launched by Mahatma Gandhi against which act in 1919?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Salt 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Vernacular Press 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Rowlatt 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Government of India Act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Rowlatt 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Gandhi launched the Satyagraha against the Rowlatt Act (1919), which allowed detention without trial; the Salt (Dandi) March followed in 1930.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Salt Act: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Vernacular Press Act: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Government of India Act: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United Nations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Vienna, Austria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Paris, France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UN headquarters is in New York; Geneva hosts WHO and other agencies; Vienna hosts IAEA and UNODC.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Vienna, Austria: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Geneva, Switzerland: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Paris, France: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is known as the 'Land of Five Rivers'?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Haryana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Punjab - 'Panj-ab' meaning five waters - refers to the five tributaries of the Indus: Beas, Chenab, Jhelum, Ravi, and Sutlej.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Uttar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Bihar: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Haryana: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Nobel Prize for Medicine was won by Sir Alexander Fleming for the discovery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Streptomycin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Quinine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Penicillin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Penicillin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Fleming discovered penicillin in 1928 and shared the 1945 Nobel with Florey and Chain; insulin was isolated by Banting and Best in 1921.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Streptomycin: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Quinine: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Dandi March in 1930 was undertaken to protest against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Cotton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Education fee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Land revenue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Salt tax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Gandhi's 390 km Dandi March (12 March-6 April 1930) broke the salt law - the Salt Satyagraha protested the British monopoly and tax on salt.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Cotton tax: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Education fee: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Land revenue: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peacetime gallantry award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Param Vir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Padma Shri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Arjuna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Ashoka Chakra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Ashoka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Ashoka Chakra is India's highest peacetime gallantry award; the Param Vir Chakra is the highest gallantry award during war.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Param Vir Chakra: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Padma Shri: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Arjuna Award: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'First War of Indian Independence' in 1857 began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Meerut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Kanpur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Lucknow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Meerut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revolt began at Meerut on 10 May 1857 when sepoys refused the greased cartridges and marched to Delhi - it spread across northern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Kanpur: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Lucknow: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Ganges River originates from which glacier?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Siachen glacier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Gangotri glacier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Pindari glacier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Zemu glacier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Gangotri glacier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Ganga rises from the Gangotri glacier (Gaumukh) in Uttarakhand; the Yamuna rises from the Yamunotri glacier.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Siachen glacier: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Pindari glacier: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Zemu glacier: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Ganga = longest within India; Godavari = longest peninsular river.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length and breadth of a rectangle are 12 cm and 8 cm respectively, its area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96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length x breadth = 12 x 8 = 96 sq cm; perimeter would be 2(12+8) = 40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buys 10 pens for Rs 80 and sells each pen for Rs 10. His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Cost per pen = Rs 8, selling price per pen = Rs 10, profit = Rs 2; profit % = 2/8 x 100 = 25%.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LCM of 12, 18, and 24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12 = 2^2 x 3, 18 = 2 x 3^2, 24 = 2^3 x 3; LCM = 2^3 x 3^2 = 72.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LCM: take the highest power of each prime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covers 180 km in 3 hours. Its average speed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Speed = distance/time = 180/3 = 60 km/h.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distance = speed x time; convert units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45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 km/h: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Convert units first: km/hr x 5/18 = m/s; distance = speed x time.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30% of a number is 45,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0.30 x N = 45, so N = 45/0.30 = 150.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3, 9, 27, 81,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243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is multiplied by 3 - 81 x 3 = 243.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162: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'PAPER' is coded as 'QBQFS', how is 'PEN'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QFO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QEO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QFM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OFM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QFO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letter shifts +1: P-&gt;Q, E-&gt;F, N-&gt;O, so PEN becomes QFO.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PAPER | QBQFS | 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QEO: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QFM: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OFM: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row of children, Ravi is 7th from the left and 9th from the right. How many children are in the row?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= position from left + position from right - 1 = 7 + 9 - 1 = 15.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odd one out: Apple, Mango, Potato, Banana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Potato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Potato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Potato is a vegetable (tuber); the others are fruits.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Mango: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Banana: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Apple: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day after tomorrow is Sunday, what day is today?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Saturday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Thursday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Friday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If day after tomorrow is Sunday, tomorrow is Saturday, so today is Friday.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Saturday: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