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fetal heart rate pattern of late decelerations is primarily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Umbilical cord occlusion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Uteroplacental insufficiency from reduced intervillous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Compression of the fetal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anxiety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Uteroplacental insufficiency from reduced intervillous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Late decelerations begin after the contraction peak and return slowly - they reflect uteroplacental insufficiency and fetal hypoxia, unlike variable decelerations (cord compression) and early decelerations (head compression).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Umbilical cord occlusion: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Compression of the fetal head: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Maternal anxiety: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HELPERR mnemonic for shoulder dystocia, the letter H stands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Hydrostatic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Help - call for help and additional personnel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head steady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Hyperextension of the legs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Help - call for help and additional personnel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 = Help (call for assistance and announce the emergency), E = evaluate for episiotomy, L = legs (McRoberts), P = suprapubic pressure, E = enter (internal rotation), R = remove posterior arm, R = roll the patient - used to relieve shoulder dystocia without traction on the head.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Hydrostatic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Hold the head steady: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Hyperextension of the legs: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with abruptio placentae develops a tense, woody, painful uterus. The nurse recognises this finding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Couvelaire uterus from retroplacental haemorrhage into the myometrium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Uterine atony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Bandl's 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Physiological Braxton Hicks contraction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Couvelaire uterus from retroplacental haemorrhage into the myometrium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severe abruption, blood infiltrates the myometrium causing a tense, board-like, exquisitely tender uterus (Couvelaire uterus) with fetal distress, shock, and DIC - an obstetric emergency requiring immediate delivery.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Uterine atony: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Bandl's 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Physiological Braxton Hicks contraction: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placenta previa; painful dark bleeding + rigid uterus = abruptio placentae.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bedside test to confirm spontaneous rupture of membranes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Vaginal pH of 4.5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urine dipstick showing leucocytes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Maternal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Nitrazine paper turning deep blue with ferning on microscopy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Nitrazine paper turning deep blue with ferning on microscopy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Amniotic fluid is alkaline - Nitrazine turns blue and fluid shows a characteristic ferning (arborization) pattern on drying; blood, urine, and semen can give false positives, so ferning increases specificity.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Vaginal pH of 4.5: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urine dipstick showing leucocytes: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Maternal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standard dose of Anti-D immunoglobulin given to an Rh-negative mother after delivering an Rh-positive baby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mcg with each feed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300 mcg within 72 hours of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3000 mcg before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mcg at one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300 mcg within 72 hours of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300 mcg of Anti-D neutralises about 15-30 mL of fetal red cells; it must be given within 72 hours to prevent sensitisation of the Rh-negative mother in the next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 mcg with each feed: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3000 mcg before delivery: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 mcg at one week: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with severe pre-eclampsia is on a magnesium sulfate infusion. Before giving each dose the nurse must assess: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Urine protein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glucose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Fetal movement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Presence of the patellar reflex and a respiratory rate above 12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Presence of the patellar reflex and a respiratory rate above 12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Magnesium toxicity follows a sequence - loss of deep tendon reflexes (first), respiratory depression below 12/min, then cardiac arrest; calcium gluconate is the antidote, so reflexes and respirations are checked before every dose.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Urine protein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Blood glucose level: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Fetal movement count: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multipara at term has rupture of membranes and the umbilical cord is seen protruding from the vagina.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 the mother in knee-chest position and push the presenting part upward off the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Reinsert the cord into the vagina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Pull gently on the cord to assess viability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a tight pad over the vulva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Place the mother in knee-chest position and push the presenting part upward off the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Cord prolapse is an emergency - the priority is to relieve cord compression by elevating the presenting part (gloved hand in the vagina), positioning knee-chest or Trendelenburg, keeping the cord warm and moist, and preparing for immediate delivery.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Reinsert the cord into the vagina: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Pull gently on the cord to assess viability: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 a tight pad over the vulva: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delivery of a newborn with meconium-stained liquor, the priority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Dry and wrap the baby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Suction the mouth and oropharynx before the first breath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Begin bag-mask ventilation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Stimulate crying immediately with a warm towel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Suction the mouth and oropharynx before the first breath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meconium-stained liquor, suctioning the mouth and pharynx before the first breath (and before vigorous stimulation) prevents meconium aspiration syndrome; stimulation is avoided until the airway is cleared.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Dry and wrap the baby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Begin bag-mask ventilation at once: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Stimulate crying immediately with a warm towel: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labouring woman at 8 cm dilatation develops variable decelerations on the monitor.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Prepare immediately for cesarean section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oxytocin infusion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Change the mother's position and reassess the pattern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oxygen at 15 L and continue observation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Change the mother's position and reassess the pattern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Variable decelerations indicate cord compression - repositioning (side-lying or knee-chest) is the first intervention; if the pattern persists, the oxytocin is stopped, oxygen given, and the provider notified.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Prepare immediately for cesarean section: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the oxytocin infusion: Oxytocin is the first-line uterotonic for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oxygen at 15 L and continue observation only: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woman has an acute uterine inversion. The initial management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Applying firm traction on the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Waiting for spontaneous correction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manual replacement of the uterus before cervical constriction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 hysterectomy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Immediate manual replacement of the uterus before cervical constriction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uterus is replaced manually as soon as possible while the cervix is still dilated and the placenta is in place if attached; delay allows cervical constriction, making replacement difficult and worsening shock and haemorrhage.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Applying firm traction on the cord: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Waiting for spontaneous correction: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Immediate hysterectomy: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evacuation of a hydatidiform mole, the client is followed up with serial measurement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Serum beta-hCG levels to detect malignant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Fasting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Platelet counts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pressure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Serum beta-hCG levels to detect malignant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Persistently rising or plateauing beta-hCG after mole evacuation indicates invasive mole or choriocarcinoma - follow-up is with weekly hCG until negative, then monthly for a year, with contraception advised.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Fasting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Platelet counts: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Blood pressure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contraindication to combined oral contraceptive pills?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acne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 deficiency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Regular menstrual cycles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History of deep vein thrombosis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History of deep vein thrombosis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Oestrogen-containing pills increase thromboembolic risk - history of DVT, stroke, migraine with aura, liver disease, and smoking over 35 years are contraindications; progestin-only methods are alternatives.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Mild acne: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 deficiency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Regular menstrual cycles: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unripe (unfavourable) cervix during induction of labour is ripened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Prostaglandin E2 (dinoprostone) gel or pessary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Magnesium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oxytocin bolus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Ergotamine tablets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Prostaglandin E2 (dinoprostone) gel or pessary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Prostaglandins (PGE2, misoprostol/PGE1) ripen the cervix and initiate contractions; oxytocin is used when the cervix is favourable, and ergot preparations are never used in labour because they cause sustained uterine spasm.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Magnesium sulfate: Magnesium sulfate is used for eclampsia/pre-eclampsia.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 oxytocin bolus: Oxytocin is the first-line uterotonic for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Ergotamine tablets: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Using the IADPSG criteria, the fasting plasma glucose diagnostic of gestational diabetes on a 75 g OGTT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150 mg/dL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92 mg/dL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126 mg/dL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mg/dL or more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92 mg/dL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IADPSG/WHO criteria diagnose GDM if any one value is met - fasting at least 92 mg/dL, 1-hour at least 180 mg/dL, or 2-hour at least 153 mg/dL on the 75 g OGTT.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75 g | IADPSG | OGTT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150 mg/dL or more: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126 mg/dL or more: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 mg/dL or more: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stage of labour is considered complete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presenting part reaches station +2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placenta is delivered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cervix is fully dilated to 10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membranes rupture spontaneously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cervix is fully dilated to 10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stage (dilatation) ends at full cervical dilatation of 10 cm; the second stage ends with birth of the baby, and the third stage ends with delivery of the placenta and membranes.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presenting part reaches station +2: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placenta is delivered: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membranes rupture spontaneously: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Retained placental fragments most characteristically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Secondary postpartum haemorrhage with infection days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Antepartum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Haemorrhage only during the third stage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Polyhydramnios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Secondary postpartum haemorrhage with infection days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Retained products cause secondary (delayed) PPH - bleeding and foul lochia days to weeks after delivery, with subinvolution and infection; management is antibiotics, uterotonics, and evacuation under cover.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Antepartum haemorrhage: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Haemorrhage only during the third stage: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Polyhydramnios: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has an eclamptic seizure despite being on the magnesium sulfate regimen.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Discharge after the seizure settles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an additional magnesium sulfate bolus per protocol and prepare for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all anticonvulsants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oral diazepam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Give an additional magnesium sulfate bolus per protocol and prepare for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Recurrent seizures on maintenance magnesium are treated with a further bolus of magnesium (with reflexes and respirations reassessed) plus antihypertensives, and delivery is planned once the mother is stabilised.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Discharge after the seizure settles: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all anticonvulsants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oral diazepam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Classical puerperal pyrexia (puerperal sepsis screen) is defined as a temperature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degree C on the day of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37 degree C on a single reading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38 degree C or more on any two of the first ten days postpartum, excluding the first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36.5 degree C at discharge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38 degree C or more on any two of the first ten days postpartum, excluding the first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Puerperal pyrexia is 38 degree C (100.4 degree F) on any two occasions within the first ten days, excluding the first 24 hours; the commonest causes are genital tract, urinary, and breast infections.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40 degree C on the day of delivery: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37 degree C on a single reading: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36.5 degree C at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management of a woman with amniotic fluid embolism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Aggressive supportive care - oxygen, fluids, blood products, and treatment of 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Antibiotics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hysterectomy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Ergotamine infusion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Aggressive supportive care - oxygen, fluids, blood products, and treatment of 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Amniotic fluid embolism causes sudden cardiovascular collapse and DIC - treatment is supportive (airway, oxygen, circulatory support, blood products, coagulation correction) and urgent delivery in pregnancy; there is no specific antidote.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Antibiotics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Immediate hysterectomy: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Ergotamine infusion: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6 hours after delivery has a boggy uterus at the level of the umbilicus with heavy lochia. The nurse's first action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Notify the doctor before any 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the client to ambulate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ice to the lower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Massage the uterine fundus and express clots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Massage the uterine fundus and express clots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Uterine atony with a boggy fundus is managed first by fundal massage to stimulate contractions and expel clots; if bleeding continues, oxytocin, methergine (if not hypertensive), and further evaluation follow.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Notify the doctor before any action: Needed, but not the FIRST action - stabilise the client first (ABC).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the client to ambulate: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Apply ice to the lower abdomen: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Supine hypotensive syndrome in late pregnancy results from compression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Femoral vein by the pelvic brim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Aorta by the fetal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Portal vein by the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Inferior vena cava by the gravid uterus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Inferior vena cava by the gravid uterus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gravid uterus compresses the inferior vena cava in the supine position, reducing venous return and cardiac output - the woman turns pale, sweaty, and hypotensive; the left lateral position relieves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Femoral vein by the pelvic brim: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Aorta by the fetal head: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Portal vein by the liver: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Oligohydramnios is defined as an amniotic fluid index (AFI)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More than 20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Less than 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More than 25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Exactly 10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Less than 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AFI below 5 cm indicates oligohydramnios (and below 8 cm borderline) - associated with fetal renal anomalies, PROM, and growth restriction; polyhydramnios is an AFI above 24-25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More than 20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More than 25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Exactly 10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Polyhydramnios is most commonly associated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Fetal growth restriction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congenital anomalies and twin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Post-term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Oligohydramnios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Fetal congenital anomalies and twin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Polyhydramnios (excess liquor) occurs with fetal anomalies such as neural tube defects and oesophageal atresia, multiple pregnancy, and maternal diabetes; acute polyhydramnios before 24 weeks is often severe.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Fetal growth restriction: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Post-term pregnancy: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Oligohydramnios: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fetal hypoxia during labour in a breech presentation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Placenta praevia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Shoulder dystocia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Cephalopelvic disproportion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Cord prolapse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Cord prolapse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breech does not fill the lower uterine segment, so the cord prolapses easily - the leading cause of hypoxia in breech labour; the fetus is also at risk of head entrapment and birth trauma.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Placenta praevia: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Shoulder dystocia: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Cephalopelvic disproportion: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true knot in the umbilical cord is dangerous mainly because it can: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the amniotic fluid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Delay breast engorgement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Cause polyhydramnios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Tighten and occlude the cord vessels causing fetal hypoxia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Tighten and occlude the cord vessels causing fetal hypoxia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true knot forms when the fetus passes through a loop of cord; it usually lies loose, but during labour or fetal movement it can tighten, obstructing flow and causing acute fetal hypoxia.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 the amniotic fluid volume: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Delay breast engorgement: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Cause polyhydramnios: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Vacuum (ventouse) extraction is contraindicated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fully dilated cervix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Occipito-anterior position at term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Face presentation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Adequate pelvic capacity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Face presentation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vacuum cup must not be applied in face or brow presentations, preterm babies (before 34 weeks), suspected fetal coagulopathy, or when the vertex has not engaged - forceps or cesarean are chosen instead.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fully dilated cervix: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Occipito-anterior position at term: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Adequate pelvic capacity: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trial of labour is contraindicated in a woman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single previous vaginal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gestational diabetes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previous classical (upper segment) cesarean scar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previous lower-segment cesarean scar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previous classical (upper segment) cesarean scar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classical uterine scar involves the upper contractile segment and carries a high risk of rupture during labour - trial of labour (VBAC) is contraindicated; a lower-segment scar is generally allowed with careful monitoring.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single previous vaginal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Mild gestational diabetes: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previous lower-segment cesarean scar: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sign indicates that the placenta has separated during the third stage of labour?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Lengthening of the umbilical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Descent of the fundus into the pelvis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Rupture of the membranes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Cessation of all contractions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Lengthening of the umbilical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Placental separation is shown by the uterus becoming globular and rising, a sudden gush of blood, and lengthening of the cord; the fundus then rises above the umbilicus as the placenta descends.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Descent of the fundus into the pelvis: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Rupture of the membranes: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Cessation of all contractions: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an Apgar score of 3 at five minutes requires: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Supplemental feeds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positive pressure ventilation and ongoing resuscitation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Routine drying and observation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Delayed cord clamping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Immediate positive pressure ventilation and ongoing resuscitation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Apgar of 3 at 5 minutes indicates severe depression - the newborn needs positive pressure ventilation with 100% oxygen, reassessment of heart rate, and possible chest compressions; the score at 5 minutes predicts outcome.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Supplemental feeds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Routine drying and observation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Delayed cord clamping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suspect ectopic pregnancy in a woman presenting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Amenorrhoea, unilateral pelvic pain, and a positive pregnancy test with adnexal tenderness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 and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Painless bright red bleeding at 34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Regular heavy menstrual bleeding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Amenorrhoea, unilateral pelvic pain, and a positive pregnancy test with adnexal tenderness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Ectopic pregnancy - implantation outside the uterus - classically causes amenorrhoea, unilateral lower abdominal pain, vaginal spotting, and a positive test; rupture causes sudden severe pain, shoulder-tip pain, and shock.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gain and oedema: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Painless bright red bleeding at 34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Regular heavy menstrual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diabetic ketoacidosis has a serum potassium of 3.2 mEq/L.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potassium because insulin is starting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value and monitor only blood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potassium only after glucose normalises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 potassium promptly before and during insulin therapy, with ECG monitoring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Replace potassium promptly before and during insulin therapy, with ECG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DKA, total body potassium is depleted even if the admission level looks normal - insulin drives potassium into cells and can cause fatal hypokalaemia, so potassium is replaced when the level is below 3.3 mEq/L (or urine output is adequate).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 all potassium because insulin is starting: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the value and monitor only blood glucose: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potassium only after glucose normalises: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ABG in a client with severe vomiting shows pH 7.52, PaCO2 44 mm Hg, HCO3 36 mEq/L. The nurse interprets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Metabolic alkalosis - uncompensated, from loss of gastric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Metabolic 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Respiratory acidosis with full compensation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Mixed respiratory alkalosis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Metabolic alkalosis - uncompensated, from loss of gastric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 pH with high HCO3 is metabolic alkalosis; normal PaCO2 means no respiratory compensation yet - vomiting loses hydrogen and chloride ions, a classic cause; saline with potassium corrects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44 mm hg | 36 meq | ABG | pH | PaCO2 | HCO3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Metabolic acidosis: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Respiratory acidosis with full compensation: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Mixed respiratory alkalosis: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myasthenia gravis develops sudden severe respiratory distress, drooling, and fasciculations after neostigmine. The priority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fluids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Manage the airway - this is cholinergic crisis from drug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oral pyridostigmine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another dose of neostigmine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Manage the airway - this is cholinergic crisis from drug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Fasciculations, salivation, and breathing difficulty after an anticholinesterase dose indicate cholinergic crisis (drug excess) - atropine and airway support are given; distinguishing it from myasthenic crisis (under-dose) may require the edrophonium test.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 fluids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oral pyridostigmine at once: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another dose of neostigmine: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syndrome of inappropriate antidiuretic hormone (SIADH), the nurse expects to find: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Hypernatraemia with dilute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Hyperkalaemia with alkalosis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Polyuria and polydipsia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Hyponatraemia with concentrated urine and low serum osmolality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Hyponatraemia with concentrated urine and low serum osmolality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SIADH causes water retention - serum sodium and osmolality fall while urine remains concentrated (high urine osmolality, high urine sodium); management is fluid restriction, demeclocycline, or tolvaptan.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SIADH | In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Hypernatraemia with dilute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Hyperkalaemia with alkalosis: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Polyuria and polydipsia: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earliest clinical feature of increased intracranial pressure is often: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change in the level of consciousness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Decerebrate posturing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Papilloedema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Cushing's triad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change in the level of consciousness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Altered consciousness - restlessness, drowsiness, confusion - is the earliest and most reliable sign of rising ICP; papilloedema and posturing appear late, and Cushing's triad (bradycardia, hypertension, irregular respirations) is a terminal warning.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Decerebrate posturing: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Papilloedema: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Cushing's triad: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cirrhosis develops asterixis and confusion after a high-protein meal. The nurse recognises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Drug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Hypoglycaemic 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Hepatic encephalopathy - protein restriction and lactulose are indicated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Alcohol withdrawal delirium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Hepatic encephalopathy - protein restriction and lactulose are indicated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Ammonia from protein breakdown overwhelms the failing liver and crosses the blood-brain barrier - causing flapping tremor (asterixis) and confusion; lactulose acidifies the gut to trap ammonia and dietary protein is temporarily limited.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Drug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Hypoglycaemic coma: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Alcohol withdrawal delirium: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heparin for a pulmonary embolism develops epistaxis and an activated partial thromboplastin time of 120 seconds. The antidote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Fresh frozen plasma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Protamine sulfate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Protamine sulfate neutralises heparin rapidly - 1 mg per 100 units of heparin; vitamin K reverses warfarin, and FFP is used for severe coagulopathy or warfarin overdose with bleeding.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K: Vitamin K reverses warfarin, not heparin.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Fresh frozen plasma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Naloxone: Naloxone reverses opioid overdose - not this scenario.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acute pancreatitis, the priority nursing care during the first 48 hours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Aggressive IV fluid resuscitation with close monitoring of haemodynamics and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surgical exploration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Early oral feeding to rest the bowel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Antibiotic prophylaxis for everyone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Aggressive IV fluid resuscitation with close monitoring of haemodynamics and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Third-space fluid loss in acute pancreatitis can cause shock - aggressive crystalloid resuscitation guided by urine output, haematocrit, and vitals is the priority; the patient is kept nil orally with analgesia and the cause (gallstones, alcohol) addressed.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48 hours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Immediate surgical exploration: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Early oral feeding to rest the bowel: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Antibiotic prophylaxis for everyone: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gives digoxin 0.125 mg instead of the prescribed 0.25 mg. The most appropriate immediate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Silently repeat the correct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Assess the client, document the error, and notify the provider about the incident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to see if the client develops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Record the dose as given correctly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Assess the client, document the error, and notify the provider about the incident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Medication errors must be reported through the incident reporting system and the provider notified so the client can be assessed and the next dose plan adjusted; concealing the error compromises safety and is unethical.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0.125 mg | 0.25 mg | Immediate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Silently repeat the correct dose: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Wait to see if the client develops symptoms: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Record the dose as given correctly: Documentation comes after the intervention, not before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administering an intramuscular injection to a thin adult, the needle may hit the bone if the nurse 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ventrogluteal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vastus lateralis in an infant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dorsogluteal site in a wasted client without re-assessing landmarks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deltoid with a 1 inch needle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dorsogluteal site in a wasted client without re-assessing landmarks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dorsogluteal site overlies the sciatic nerve and is unreliable in thin, wasted clients - the ventrogluteal is safest for adults; landmarks are always re-identified and the site assessed for muscle mass before injecting.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ventrogluteal site: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vastus lateralis in an infant: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deltoid with a 1 inch needle: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must be turned at least every two hours mainly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Deep vein thrombosis by leg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Contractures by passive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Pressure injury by relieving sustained pressure over bony prominences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Urinary infection by hydration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Pressure injury by relieving sustained pressure over bony prominences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Repositioning every 2 hours relieves pressure on capillaries over bony prominences, preventing pressure injuries; range-of-motion exercises prevent contractures and leg exercises help prevent DVT.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Deep vein thrombosis by leg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Contractures by passive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Urinary infection by 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observes that a client's urine is bright red. The correct nursing term for this finding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Gross haematuria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Oliguria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Polyuria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Pyuria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Gross haematuria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Visible blood in the urine is gross haematuria; microscopic haematuria is seen only on testing, pyuria is pus in the urine, oliguria is low output, and polyuria is excessive output.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Oliguria: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Polyuria: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Pyuria: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fever of 39.5 degree C is prescribed tepid sponging.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Cover the client tightly after sponging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Sponge with water at room temperature and avoid shivering, which raises temperature further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Sponge only the chest and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ice-cold water to bring the temperature down faster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Sponge with water at room temperature and avoid shivering, which raises temperature further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Tepid sponging uses water at room temperature; ice-cold water and shivering increase metabolic heat production and defeat the purpose - the nurse sponges large areas, pats dry, and keeps the client uncovered but comfortable.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Cover the client tightly after sponging: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Sponge only the chest and face: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Use ice-cold water to bring the temperature down faster: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accurate method of assessing fluid balance in a critically ill client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Daily body weight at the same time with the same scale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Visual inspection of the extremities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Counting intake cups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Subjective report of thirst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Daily body weight at the same time with the same scale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One litre of fluid weighs one kilogram - daily weight measured under identical conditions is the most reliable indicator of fluid gain or loss; intake-output charts support but cannot replace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Visual inspection of the extremities: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Counting intake cups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Subjective report of thirst: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any surgical procedure, the nurse must verify informed consent. Which statement indicates valid consent?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nurse signed on behalf of an alert client who refused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consent form was signed in the recovery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consent was signed by the ward boy because the client was busy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competent client signed after the procedure, risks, and alternatives were explained and understood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competent client signed after the procedure, risks, and alternatives were explained and understood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Valid consent requires competence, disclosure of benefits and risks, understanding, and voluntariness - it must be obtained before sedation or surgery; a relative or guardian consents only for a minor or incompetent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nurse signed on behalf of an alert client who refused: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consent form was signed in the recovery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consent was signed by the ward boy because the client was busy: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oxygen therapy with chronic obstructive pulmonary disease should receive oxygen at a flow that maintains: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100% oxygen at high flow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PaO2 of about 60 mm Hg or SpO2 88-92% - low-flow oxygen titrated carefully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oxygen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highest flow the mask allows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PaO2 of about 60 mm Hg or SpO2 88-92% - low-flow oxygen titrated carefully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COPD patients may rely on hypoxic drive - high-flow oxygen can suppress the respiratory drive and cause CO2 narcosis; target SpO2 of 88-92% using a controlled low-flow device such as a Venturi mask.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100% oxygen at high flow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oxygen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highest flow the mask allows: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has a serum level of 2.0 mEq/L with coarse tremor, ataxia, and vomiting. The priority action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 the dose to overcome the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thiazide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lithium, check the level, and give IV fluids - this is lithium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lithium at the same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Stop lithium, check the level, and give IV fluids - this is lithium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Therapeutic lithium is 0.6-1.2 mEq/L; levels above 1.5-2.0 mEq/L cause toxicity (tremor, ataxia, vomiting, confusion) - lithium is stopped, fluids given, and haemodialysis considered for severe cases; thiazides raise lithium levels.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2.0 meq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Double the dose to overcome the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thiazide diuretic: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Continue lithium at the same dose: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vancomycin develops flushing, pruritus, and hypotension during the infusion. The nurse recognises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Extravasation of the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 man syndrome - slow the infusion and give antihistamines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Anaphylaxis - stop and give adrenaline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normal expected response - continue at the same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Red man syndrome - slow the infusion and give antihistamines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Red man (red neck) syndrome is a histamine-release reaction to rapid vancomycin infusion - flushing, itching, hypotension - treated by slowing the rate and antihistamines; true anaphylaxis with bronchospasm is rarer and needs adrenaline.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Extravasation of the drug: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Anaphylaxis - stop and give adrenaline at once: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normal expected response - continue at the same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is also started on rifampicin for tuberculosis. The nurse anticipates: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fall in the INR - the warfarin dose may need to be increased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change in the INR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rise in the INR with bleeding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 heparin replacement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fall in the INR - the warfarin dose may need to be increased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Rifampicin is a strong enzyme inducer - it accelerates warfarin metabolism, lowering the INR and requiring higher warfarin doses; INR is monitored closely whenever interacting drugs start or stop.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change in the INR: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rise in the INR with bleeding risk: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Immediate heparin replacement: Heparin is an anticoagulant; its antidote is protamine sulfate.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must observe a client for orthostatic hypotension when first starting which drug?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Amoxicillin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Omeprazole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Metformin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Prazosin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Prazosin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Alpha-blockers such as prazosin cause marked first-dose hypotension - the first dose is given at bedtime with the client supine; metformin causes GI upset and omeprazole is a PPI.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Amoxicillin: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Omeprazole: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Metformin: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digoxin has nausea, yellow-green visual halos, and a serum digoxin level of 3.5 ng/mL.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potassium supplement without checking the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digoxin for the arrhythmia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digoxin, monitor potassium, and prepare for digoxin-specific antibody fragments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digoxin as prescribed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Hold digoxin, monitor potassium, and prepare for digoxin-specific antibody fragments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Digoxin toxicity (therapeutic 0.8-2.0 ng/mL) causes anorexia, nausea, visual disturbances, and arrhythmias - the drug is held, electrolytes (especially potassium) corrected, and digoxin immune Fab given in severe 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potassium supplement without checking the level: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more digoxin for the arrhythmia: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Continue digoxin as prescribed: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Every drug: know its antidote, adverse effect, and the lab to monitor.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gentamicin complains of new tinnitus and dizziness.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the dose and notify the provider - this suggests ototoxicity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fluid intake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next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Reassure the client that this is temporary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Hold the dose and notify the provider - this suggests ototoxicity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Aminoglycosides (gentamicin) cause ototoxicity (hearing loss, tinnitus, vertigo) and nephrotoxicity - the drug is stopped or the dose adjusted with peak and trough levels monitored; the damage may be irreversible.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the fluid intake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Double the next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Reassure the client that this is temporary: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prepares to give a subcutaneous heparin injection. The correct technique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Inject into a pinched fold of subcutaneous fat at a 45-90 degree angle and do not rub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 the site firmly after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Inject into the deltoid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an air bubble larger than the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Inject into a pinched fold of subcutaneous fat at a 45-90 degree angle and do not rub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Heparin is given subcutaneously into a fat fold (abdomen) with a small needle, pinching the skin, inserting at 45-90 degrees, and not rubbing afterwards to prevent bruising and haematoma formation.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Rub the site firmly after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Inject into the deltoid muscle: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Use an air bubble larger than the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type 2 diabetes develops hypoglycaemia after starting gliclazide.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large fatty meal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15-20 g of fast-acting glucose and recheck the blood sugar in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Inject glucagon even if the client is conscious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all insulin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Give 15-20 g of fast-acting glucose and recheck the blood sugar in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Hypoglycaemia is treated with the 15-15 rule - 15 g of fast-acting carbohydrate, recheck in 15 minutes, repeat if needed; glucagon is reserved for unconscious clients without IV access.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large fatty meal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Inject glucagon even if the client is conscious: Glucagon raises glucose when IV access is unavailable; IV dextrose is preferred when access exists.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all insulin forever: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3-year-old with fever, stridor, and a barking cough is most likely suffering from: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Bronchial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Epiglottitis - immediate airway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Laryngotracheobronchitis (croup) - cool mist and nebulised adrenaline may be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Laryngotracheobronchitis (croup) - cool mist and nebulised adrenaline may be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Croup (viral laryngotracheobronchitis) presents with barking cough, stridor, and hoarseness in toddlers - managed with cool mist, steroids, and nebulised adrenaline; epiglottitis has drooling and a muffled voice and is an airway emergency.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3-year-old | Most Likely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Bronchial asthma: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Pneumonia: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Epiglottitis - immediate airway assessment: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glomerulonephritis is on bed rest. The most important daily measurement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Teeth eruption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Head circumference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Visual acuity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Body weight at the same time each day to assess fluid retention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Body weight at the same time each day to assess fluid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acute GN, weight gain signals fluid retention and worsening renal function - daily weight with strict intake-output, blood pressure monitoring, and sodium restriction guide management.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Teeth eruption count: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Head circumference: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Visual acuity: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2-month-old infant with projectile, forceful vomiting after feeds is suspected to have: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Intussusception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Pyloric stenosis - metabolic alkalosis and hypochloraemia may be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Necrotising enterocolitis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Gastro-oesophageal reflux - small frequent feeds help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Pyloric stenosis - metabolic alkalosis and hypochloraemia may be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Infantile hypertrophic pyloric stenosis causes progressive projectile non-bilious vomiting with weight loss - vomiting of hydrochloric acid causes hypochloraemic metabolic alkalosis; surgical correction (pyloromyotomy) follows fluid correction.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Intussusception: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Necrotising enterocolitis: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Gastro-oesophageal reflux - small frequent feeds help: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4-year-old with 'red currant jelly' stools, colicky abdominal pain, and a sausage-shaped mass most likely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Intussusception - an air or barium enema may reduce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Hirschsprung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Meckel's diverticulitis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Intussusception - an air or barium enema may reduce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Intussusception - telescoping of bowel - classically causes intermittent colic, red currant jelly stools, and a palpable mass; hydrostatic or pneumatic reduction is attempted first, surgery if it fails or perforation is suspected.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4-year-old | Most Likely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Appendicitis: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Hirschsprung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Meckel's diverticulitis: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child with nephrotic syndrome, the nurse should specifically protect against: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Sunburn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Infection - the child is immunocompromised by protein loss and steroids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Infection - the child is immunocompromised by protein loss and steroids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Nephrotic syndrome causes massive proteinuria, hypoalbuminaemia, and oedema - immunoglobulin loss and steroid therapy increase infection risk, so hand hygiene, avoiding crowds, and early treatment of infections are priorities.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Dental caries: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Hyperactivity: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Sunburn: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whose mother had uncontrolled diabetes is at highest risk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Thyrotoxicosis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Hyperglycaemia with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Sickle cell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Hypoglycaemia, macrosomia, and respiratory distress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Hypoglycaemia, macrosomia, and respiratory distress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Infants of diabetic mothers have fetal hyperinsulinism - after birth the insulin continues while glucose falls, causing hypoglycaemia; macrosomia, RDS, hypocalcaemia, and congenital anomalies are also more common.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Thyrotoxicosis: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Hyperglycaemia with dehydration: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Sickle cell crisis: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pulse polio campaign uses which strategy to interrupt poliovirus transmission?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polio drops only to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 supplementary immunisation days targeting children under five in addition to routine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Replacing oral polio vaccine with vitamin A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Vaccinating only during outbreaks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Mass supplementary immunisation days targeting children under five in addition to routine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Pulse polio (National Immunisation Days) gives additional oral polio vaccine doses to all under-five children on fixed days - supplementary immunisation rapidly interrupts transmission and is the backbone of the polio eradication strategy.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Giving polio drops only to adults: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Replacing oral polio vaccine with vitamin A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Vaccinating only during outbreaks: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WHO growth chart, a child whose weight falls below the third percentile or crosses two major percentile lines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Referred for a detailed assessment of growth and underlying causes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weighed again next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alone because growth charts are unreliable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extra feeds but not examined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Referred for a detailed assessment of growth and underlying causes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Faltering growth - weight below the third percentile or crossing two percentile bands - signals malnutrition or disease and needs clinical assessment, feeding advice, and follow-up, not just repeat weighing.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weighed again next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Left alone because growth charts are unreliable: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Given extra feeds but not examined: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National Tuberculosis Elimination Programme, the first-line treatment for drug-susceptible TB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daily 6-month regimen with isoniazid, rifampicin, pyrazinamide, and ethambutol, directly observed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Surgical removal of the lung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Lifelong steroids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2-week course of penicillin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daily 6-month regimen with isoniazid, rifampicin, pyrazinamide, and ethambutol, directly observed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NTEP uses daily fixed-dose combinations - 2 months of HRZE then 4 months of HR - under direct observation, with weight-based dosing; adherence is monitored to prevent drug resistance.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Surgical removal of the lung: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Lifelong steroids: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2-week course of penicillin: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worker identifying and treating malaria cases at the village level within 24 hours is implementing: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Primary prevention by vector breeding source reduction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 surveillance after death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Early diagnosis and prompt treatment (EDPT) - a key malaria control strategy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Passive hospital-based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Early diagnosis and prompt treatment (EDPT) - a key malaria control strategy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EDPT - confirming malaria by rapid test and treating within 24 hours - reduces transmission and complications; vector control (LLINs, larvicides, source reduction) is the other major pillar.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Primary prevention by vector breeding source reduction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Case surveillance after death: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Passive hospital-based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ideal interval between the second dose of measles-rubella (MR) vaccine and the first dose in the Indian schedule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year exactly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Same day double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least 4 weeks (first dose at 9-12 months, second at 16-24 months)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Two weeks maximum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At least 4 weeks (first dose at 9-12 months, second at 16-24 months)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MR vaccine is given at 9-12 months and a second dose at 16-24 months, at least 4 weeks apart - the second dose protects children who did not seroconvert and closes the immunity gap.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MR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One year exactly: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Same day double dose: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Two weeks maximum: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monoamine oxidase inhibitor (phenelzine) must avoid which food?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Plain rice and boiled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Caffeine-free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Aged cheese and red wine - tyramine-rich foods cause a hypertensive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Citrus fruits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Aged cheese and red wine - tyramine-rich foods cause a hypertensive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MAOIs block tyramine breakdown - aged cheese, cured meats, fermented foods, and red wine raise tyramine and can trigger a hypertensive crisis; a strict low-tyramine diet is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Plain rice and boiled vegetables: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Caffeine-free tea: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Citrus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develops fever, rigidity, and a rising creatine kinase after starting haloperidol.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Extrapyramidal dystonia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simple viral fever - give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Serotonin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Neuroleptic malignant syndrome - stop the drug and give supportive care and dantrolene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Neuroleptic malignant syndrome - stop the drug and give supportive care and dantrolene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NMS - a life-threatening reaction to antipsychotics - presents with hyperthermia, muscle rigidity, autonomic instability, and raised CK; treatment is stopping the antipsychotic, cooling, fluids, and dantrolene or bromocriptine.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Extrapyramidal dystonia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simple viral fever - give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Serotonin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using a calm, matter-of-fact approach with a client who is hallucinating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Punish the client for reporting voices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Argue firmly that the voices are imaginary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Acknowledge the client's feelings without agreeing that the hallucination is real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Whisper agreement to build trust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Acknowledge the client's feelings without agreeing that the hallucination is real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therapeutic response validates the client's distress ('that must be frightening') while reality-testing without arguing - the nurse never colludes with the hallucination but also does not debate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Punish the client for reporting voices: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Argue firmly that the voices are imaginary: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Whisper agreement to build trust: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hormone is secreted by the posterior pituitary gland?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Growth hormone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Thyroid-stimulating hormone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Antidiuretic hormone (vasopressin)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Cortisol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Antidiuretic hormone (vasopressin)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posterior pituitary stores and releases ADH (vasopressin) and oxytocin - synthesised in the hypothalamus; GH, TSH, and ACTH come from the anterior pituitary, and cortisol from the adrenal cortex.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Growth hormone: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Thyroid-stimulating hormone: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Cortisol: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ADH and oxytocin are made in the hypothalamus but released by the POSTERIOR pituitary.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ADH and oxytocin are released by the posterior pituitary.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pacemaker of the heart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Atrioventricular node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Purkinje fibres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Sinoatrial node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Bundle of His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Sinoatrial node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SA node - 60-100 impulses per minute - sets the normal heart rate; the AV node, bundle of His, and Purkinje fibres conduct and provide escape rhythms if the SA node fails.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Atrioventricular node: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Purkinje fibres: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Bundle of His: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image formed by a concave mirror when the object is placed between the pole and the focus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image is formed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Real, inverted, and same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Real, inverted, and diminished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Virtual, erect, and magnified behind the mirror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Virtual, erect, and magnified behind the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Between the pole and focus of a concave mirror, the reflected rays diverge and appear to meet behind the mirror - the image is virtual, erect, and magnified (like a shaving mirror).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image is formed: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Real, inverted, and same size: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Real, inverted, and diminished: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work done in moving a charge of 2 coulombs through a potential difference of 10 volts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joules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200 joules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0.2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joules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20 joules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Work = charge x potential difference = 2 x 10 = 20 joules; one volt is one joule per coulomb.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200 joules: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0.2 joule: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joules: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magnetic flux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Gauss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Henry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Tesla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Weber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Magnetic flux is measured in webers; the tesla measures flux density (webers per square metre), the henry measures inductance, and gauss is an older CGS unit of flux density.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Gauss: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Henry: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Tesla: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chemical reaction, the substance that is oxidised is the one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Gains electrons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Loses electrons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Loses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Gains hydrogen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Loses electrons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Oxidation is loss of electrons (OIL RIG - Oxidation Is Loss, Reduction Is Gain); the oxidised species also gains oxygen or loses hydrogen.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Gains electrons: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Loses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Gains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solution with a pH of 2 is best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Strongly acidic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Strongly basic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Neutral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Weakly basic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Strongly acidic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pH scale runs 0-14 - below 7 is acidic and above 7 is basic; a pH of 2 is strongly acidic with a hydrogen ion concentration of 10^-2 mol/L.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Strongly basic: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Neutral: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Weakly basic: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functional group present in all alcohols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Hydroxyl group (-OH)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Carboxyl group (-COOH)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Carbonyl group (-CO-)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Amino group (-NH2)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Hydroxyl group (-OH)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Alcohols contain the hydroxyl (-OH) group attached to a carbon chain; carboxylic acids have -COOH, ketones and aldehydes have -CO-, and amines have -NH2.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Carboxyl group (-COOH):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Carbonyl group (-CO-):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Amino group (-NH2):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valve that prevents backflow of blood from the left ventricle into the left atrium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Tricuspid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Aortic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Pulmonary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Mitral (bicuspid) valve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Mitral (bicuspid)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mitral (bicuspid) valve guards the left atrioventricular opening, preventing reflux into the left atrium during ventricular systole; the tricuspid does the same on the right side.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Tricuspid valve: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Aortic valve: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Pulmonary valve: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brain responsible for balance, posture, and coordination of movement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Hypothalamus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Medulla oblongata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Cerebrum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cerebellum - the 'little brain' at the back of the skull - coordinates voluntary movements, balance, and posture; the medulla controls vital reflexes and the cerebrum governs higher functions.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Hypothalamus: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Medulla oblongata: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Cerebrum: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cell organelle that synthesises proteins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Mitochondrion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Ribosome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Lysosome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Golgi apparatus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Ribosome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Ribosomes - free in the cytoplasm or on rough endoplasmic reticulum - build proteins from amino acids; mitochondria make ATP, the Golgi modifies and packages, and lysosomes digest.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Mitochondrion: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Lysosome: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Golgi apparatus: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frequency range of audible sound for humans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Hz to 200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 Hz to 1,000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Hz to 20,000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200 Hz to 200,000 Hz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20 Hz to 20,000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Humans hear roughly 20-20,000 Hz; below 20 Hz is infrasound and above 20,000 Hz is ultrasound, used in diagnostic imaging.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Hz to 200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0 Hz to 1,000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200 Hz to 200,000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Knesset is the parliament of which country?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Egypt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Israel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Turkey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Israel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Knesset - Israel's 120-member unicameral parliament - sits in Jerusalem; the Egyptian parliament is the House of Representatives, Turkey's is the Grand National Assembly.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Egypt: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Turkey: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Indian state sends the largest number of members to the Lok Sabha?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West Bengal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Uttar Pradesh elects 80 Lok Sabha members - the most of any state; Maharashtra has 48 and Bihar 40.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Maharashtra: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Bihar: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West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Dadasaheb Phalke Award is conferred for outstanding contribution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Science research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Sports coaching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Indian cinema - lifetime achievement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Literature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Indian cinema - lifetime achievement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Dadasaheb Phalke Award - India's highest film honour, named after the father of Indian cinema - recognises lifetime achievement in film, first awarded in 1969.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Science research: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Sports coaching: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Literature: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woman President of the Indian National Congress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Indira Gandhi (1959)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Sarojini Naidu (1925)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Aruna Asaf Ali (1942)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Annie Besant (1917)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Annie Besant (1917)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Annie Besant presided over the INC session at Calcutta in 1917 - the first woman to do so; Sarojini Naidu followed in 1925 and Indira Gandhi became Congress President in 1959.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Indira Gandhi (1959):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Sarojini Naidu (1925):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Aruna Asaf Ali (1942):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Rashtrapati Bhavan, the official residence of the President of India, was designed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Edwin Lutyens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 Corbusier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Christopher Wren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Hafeez Contractor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Edwin Lutyens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Sir Edwin Lutyens designed Rashtrapati Bhavan and the central vista of New Delhi, completed in 1929; Le Corbusier designed Chandigarh.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 Corbusier: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Christopher Wren: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Hafeez Contractor: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INS Vikrant, commissioned in 2022, is notable as India's first indigenously built: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Stealth frigate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Aircraft carrier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Destroyer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Nuclear submarine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Aircraft carrier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INS Vikrant - built at Cochin Shipyard - is India's first indigenous aircraft carrier, capable of operating MiG-29K and indigenous fighters, with about 76% indigenous content.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Stealth frigate: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Destroyer: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Nuclear submarine: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2024 Nobel Peace Prize was awarded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Red Cross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Malala Yousafzai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Maria Ressa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Nihon Hidankyo - the Japanese atomic bomb survivors' organisation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Nihon Hidankyo - the Japanese atomic bomb survivors' organisation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Nihon Hidankyo - representing the Hibakusha of Hiroshima and Nagasaki - won the 2024 Peace Prize for demonstrating that nuclear weapons must never be used again.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Red Cross: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Malala Yousafzai: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Maria Ressa: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International Court of Justice, the principal judicial organ of the UN,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Hague, Netherlands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Rome, Italy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New York, USA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Hague, Netherlands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ICJ - which settles disputes between states - sits at the Peace Palace in The Hague; it is distinct from the ICC (also at The Hague) which tries individuals.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Rome, Italy: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Geneva, Switzerland: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New York, USA: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dam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Hirakud Dam on the Mahanadi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Bhakra Dam on the Sutlej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Tehri Dam on the Bhagirathi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Nagarjuna Sagar on the Krishna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Hirakud Dam on the Mahanadi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Hirakud Dam in Odisha - about 4.8 km long - is India's longest and one of the world's longest earthen dams; Bhakra is the tallest straight gravity dam and Tehri the tallest in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Bhakra Dam on the Sutlej: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Tehri Dam on the Bhagirathi: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Nagarjuna Sagar on the Krishna: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Kumbh Mela at Prayagraj is held at the confluence of which rivers?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Yamuna and Godavari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Narmada and Tapti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Ganga, Yamuna, and the mythical Saraswati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Ganga and Brahmaputra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Ganga, Yamuna, and the mythical Saraswati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Prayagraj (Allahabad) marks the Triveni Sangam - the visible Ganga and Yamuna plus the mythical subterranean Saraswati - the holiest of the four Kumbh Mela sites.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Yamuna and Godavari: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Narmada and Tapti: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Ganga and Brahmaputra: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240 m long crosses a platform 360 m long in 30 seconds. The speed of the train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72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distance = 240 + 360 = 600 m in 30 s = 20 m/s = 20 x 18/5 = 72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48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and B can complete a piece of work in 12 and 18 days respectively. Working together, they will finish it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7.2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5.4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7.2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Together they do 1/12 + 1/18 = 5/36 of the work per day, so time = 36/5 = 7.2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5.4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cost price of an article is Rs 800 and it is sold for Rs 920, the profit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Profit = 920 - 800 = Rs 120; profit % = 120/800 x 100 = 15%.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5 numbers is 27. If one number is excluded, the average of the remaining four becomes 25. The excluded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of five = 5 x 27 = 135; sum of four = 4 x 25 = 100; excluded number = 135 - 100 = 35.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boat covers 12 km downstream in 2 hours and 8 km upstream in 2 hours. The speed of the stream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0.5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Downstream speed = 6 km/h, upstream speed = 4 km/h; stream speed = (6 - 4)/2 = 1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0.5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next term in the series 3, 8, 15, 24, 35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Differences increase by 2 each step: +5, +7, +9, +11, so next is +13: 35 + 13 = 48.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15 men can build a wall in 20 days, the number of days 10 men will take to build the same wall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Work is constant: 15 x 20 = 10 x D, so D = 300/10 = 30 days (men and days vary inversely).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25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marks an article 40% above the cost price and allows a discount of 20%. His profit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Selling price = 1.40 x 0.80 = 1.12 of cost, so profit = 12%.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'TIGER' is written as 'UJIFS'. How will 'LION' be written in the same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MJPN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MJPO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MHPM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KIPM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MJPO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letter moves one step forward (T to U, I to J, G to H, E to F, R to S), so LION becomes MJPO.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TIGER | UJIFS |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MJPN: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MHPM: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KIPM: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today is Monday, the day of the week after 61 days will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Saturday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Saturday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61 days = 8 full weeks (56 days) + 5 days; Monday + 5 = Saturday.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