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respiratory rate is 30 breaths per minute. The nurse documents this finding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Tachypnoea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Apnoea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Eupnoea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Bradypnoea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Tachypnoea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Tachypnoea is a respiratory rate above 20-24 per minute; bradypnoea is below 12, apnoea is cessation of breathing, and eupnoea is normal quiet breathing.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Apnoea: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Eupnoea: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Bradypnoea: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radial pulse is 112 beats per minute at rest. The nurse documents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sinus rhythm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Pulsus paradoxus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Tachycardia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Tachycardia is a resting pulse above 100 bpm; bradycardia is below 60 bpm, and pulsus paradoxus is an exaggerated fall in pulse volume during inspiration.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sinus rhythm: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Pulsus paradoxus: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commonly used artery for measuring blood pressure with a sphygmomanometer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Femoral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Brachial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Radial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Carotid artery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Brachial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brachial artery at the antecubital fossa is the standard site - the cuff bladder must be centred over it; the radial artery is used for pulse assessment.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Femoral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Radial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Carotid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blood pressure measurement, the first Korotkoff sound heard represents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Diastolic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Systolic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Mean arterial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Pulse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Systolic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tapping Korotkoff sound appears when the cuff pressure falls just below systolic - it is recorded as the systolic value; disappearance of sounds marks diastolic.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Diastolic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Mean arterial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Pulse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temperature site that best reflects the core body temperature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 site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Axillary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surface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Rectal site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Rectal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rectal temperature is closest to core temperature and most reliable, though invasive; the tympanic and oesophageal routes also approximate core values.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Oral site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Axillary site: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Skin surface: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vital sign change is often the earliest warning of clinical deterioration in a ward patient?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rising respiratory rate above 24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single normal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rising respiratory rate above 24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abnormal respiratory rate is the most sensitive early sign of deterioration - it often rises before blood pressure falls or consciousness changes; early warning scores (NEWS) emphasise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Improved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single normal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positions a client for a lumbar puncture in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Lateral recumbent with the knees drawn up to the chest and chin tucked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Sitting upright with legs dangling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Supine with legs extended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 with arms overhead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Lateral recumbent with the knees drawn up to the chest and chin tucked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knee-chest lateral (fetal) position widens the lumbar interspaces, allowing safe needle entry between L3-L4 or L4-L5; the client holds still during the procedure.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Sitting upright with legs dangling: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Supine with legs extended: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Prone with arms overhead: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 percutaneous liver biopsy, the client should be positioned on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Left side with the head elevated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Right side with the head of the bed flat for 2-4 hours to tamponade the biopsy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Sitting upright in a chair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Right side with the head of the bed flat for 2-4 hours to tamponade the biopsy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Lying on the right side presses the liver capsule against the chest wall, tamponading the puncture site and reducing the risk of bleeding; vital signs and the site are monitored closely.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Left side with the head elevated: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Prone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Sitting upright in a chair: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tap water enema is contraindicated in a client with renal or cardiac disease because it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Fluid overload and electrolyte dilution from rapid water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fall in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urine acidity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Fluid overload and electrolyte dilution from rapid water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Hypotonic tap water is absorbed rapidly from the colon - repeated large-volume tap water enemas can cause water intoxication, hyponatraemia, and fluid overload in vulnerable clients; normal saline is safer.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fall in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Increased urine acidity: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While recording a client's fluid balance, the nurse should count which item as output?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Ice chips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 used for bathing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Gastric drainage from a nasogastric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Water in the drinking glass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Gastric drainage from a nasogastric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Output includes urine, vomitus, diarrhoea, wound and gastric drainage, and blood loss; bath water and ice chips are never counted - ice melts to about half its volume as water.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Ice chips: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Water used for bathing: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Water in the drinking glass: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inserting a urinary catheter in a female client, the nurse cleans the perineum: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From the clitoris toward the anus with a single downward stroke per swab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 back-and-forth strokes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From the anus toward the clitoris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a circular motion from the outside 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From the clitoris toward the anus with a single downward stroke per swab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meatus is cleansed front to back - a new swab for each downward stroke - to avoid carrying anal organisms toward the urinary meatus.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 back-and-forth strokes: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From the anus toward the clitoris: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 a circular motion from the outside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usual size of an indwelling urinary catheter for an adult male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14-16 French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 French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6-8 French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22-24 French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14-16 French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Adult catheters are usually 14-16 Fr; smaller sizes (10-12 Fr) suit children, and larger sizes are used for drainage of clots or prostate surgery, not routine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30 French: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6-8 French: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22-24 French: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deep vein thrombosis in a client on bed rest, the nurse should encourage: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Deep breathing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Sitting with the knees crossed for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Lying perfectly still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Active ankle pump and calf exercises several times a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Active ankle pump and calf exercises several times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Calf-pump exercises (dorsiflexion and plantarflexion of the feet) activate the muscle pump, promoting venous return and preventing stasis; early ambulation and compression stockings also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Deep breathing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Sitting with the knees crossed for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Lying perfectly still: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severe dyspnoea should be placed in which position to ease breathing?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Flat supine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Fowler's (semi-sitting at 60-90 degrees)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High Fowler's (semi-sitting at 60-90 degrees)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 Fowler's position lowers the diaphragm and maximises chest expansion; the client may also lean forward with arms supported (orthopnoeic position) to recruit accessory muscles.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Flat supine: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Trendelenburg: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Immediately after a craniotomy, the nurse positions the client with the head of the bed elevated about 30 degrees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Ease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the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Promote venous drainage from the head and reduce cerebral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pressure sores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Promote venous drainage from the head and reduce cerebral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Elevating the head 30 degrees with the head in a neutral midline position promotes jugular venous drainage, lowering intracranial pressure; flexion or rotation of the neck is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Ease feeding: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Reduce the heart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Prevent pressure sores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hip flexion contracture after an above-knee amputation,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hip flexed on pillows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Prop the stump high on pillows for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sitting in a wheelchair all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prolonged sitting and keep the stump supported in a neutral extended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Avoid prolonged sitting and keep the stump supported in a neutral extended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Pillows under the stump or prolonged sitting cause hip flexion contractures that block prosthesis fitting - the stump is kept extended or prone, with range-of-motion exercises.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Keep the hip flexed on pillows continuously: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Prop the stump high on pillows for 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sitting in a wheelchair all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Z-track technique for intramuscular injection is used mainly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irritating drugs such as iron dextran from leaking back into subcutaneous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the need for skin preparation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Make the injection site bleed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the pain of the needle insertion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 irritating drugs such as iron dextran from leaking back into subcutaneous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Z-track technique displaces the skin and subcutaneous tissue sideways before injecting, then releases it - sealing the needle track and keeping irritating, staining drugs deep in the muscle.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 the need for skin preparation: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Make the injection site bleed more: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Reduce the pain of the needle insertion: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give an accurate dose of 0.5 mL of a medication, the nurse should select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mL syringe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Insulin syringe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mL syringe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mL (tuberculin) syringe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 mL (tuberculin) syringe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Small volumes are measured accurately on a 1 mL tuberculin syringe whose scale allows precise tenths and hundredths of a millilitre; larger syringes magnify reading error.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 mL syringe: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Insulin syringe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mL syringe: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IV infusion of 500 mL is to run over 8 hours with a drop factor of 20 gtt/mL. The flow rate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 gtt/min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21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Flow rate = volume x drop factor / time in minutes = 500 x 20 / 480 = 10000/480 = 20.8, approximately 21 gtt/min.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500 ml | 8 hours |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1000 mL of Ringer's lactate to infuse over 10 hours. The hourly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 mL/hour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mL/hour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 mL/hour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200 mL/hour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100 mL/hour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1000 mL divided over 10 hours gives 100 mL per hour; the rate is set on the infusion pump and verified hourly.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1000 ml | 10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 mL/hour: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150 mL/hour: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200 mL/hour: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 fire is discovered in a hospital ward, the nurse's very first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Finish the ongoing dressing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Open all windows before doing anything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Rescue and move clients in immediate danger away from the fire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Collect the medications trolley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Rescue and move clients in immediate danger away from the fire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RACE mnemonic guides response - Rescue clients in immediate danger first, then Alarm, Contain the fire, and Evacuate - client safety outranks equipment and paperwork.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Finish the ongoing dressing: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Open all windows before doing anything: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Collect the medications trolley: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must wear gloves during care when there is potential contact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 bed linen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Blood, body fluids, mucous membranes, or non-intact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client's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Intact dry skin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Blood, body fluids, mucous membranes, or non-intact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Gloves are required whenever contact with blood, body fluids, secretions, excretions, mucous membranes, or broken skin is anticipated - and are changed between clients and procedures.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Clean bed linen: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client's clothing: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Intact dry skin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single most effective measure to prevent the spread of infection in hospital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Wearing gloves at all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Antibiotic prophylaxis for staff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Isolating every patient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Hand hygiene with soap and water or an alcohol-based rub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Hand hygiene with soap and water or an alcohol-based rub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Hand hygiene - before and after every client contact - is the cornerstone of infection control; gloves protect hands but are never a substitute for handwashing.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Wearing gloves at all times: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Antibiotic prophylaxis for staff: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Isolating every patient: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was NPO since midnight for surgery is found drinking water from a bedside glass.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client a sedative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intake, inform the client why, and notify the provider and anaesthesia team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Let the client finish the glass quietly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Record it as 'oral intake nil'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Stop the intake, inform the client why, and notify the provider and anaesthesia team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Aspiration risk means NPO orders are strict - any intake is stopped, documented honestly, and the provider and anaesthetist notified so the surgery time can be adjusted safely.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the client a sedative: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Let the client finish the glass quietly: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Record it as 'oral intake nil':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temperature is recorded as 38.9 degree C. The nurse documents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Pyrexia (fever)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Hyperpyrexia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Hypothermia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Pyrexia (fever)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(pyrexia) is a temperature above 37.5-38 degree C; hyperpyrexia is above 40-41 degree C and hypothermia below 35 degree 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Hyperpyrexia: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Hypothermia: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must avoid placing a client with raised intracranial pressure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Semi-Fowler's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Trendelenburg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 Fowler's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Left lateral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Trendelenburg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Trendelenburg (head down) increases venous pressure in the head and raises intracranial pressure - clients with raised ICP are kept with the head elevated 30-45 degrees in neutral alignment.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Semi-Fowler's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High Fowler's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Left lateral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fractured tibia complains of severe increasing pain and the toes are pale and cold.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analgesics and observe for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heat to the limb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Elevate the limb above the heart on pillows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limb at heart level, loosen any tight dressing, and notify the provider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 the limb at heart level, loosen any tight dressing,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Pale, cold toes with escalating pain suggest compartment syndrome - the limb is kept level (not elevated, which lowers perfusion) and urgent fasciotomy is arranged; elevation is appropriate for venous oedema only.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more analgesics and observe for a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 heat to the limb: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Elevate the limb above the heart on pillows: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Routine pre-operative shaving of the surgical site is now avoided because shaving: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Interferes with anaesthesia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Damages the operating 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Increases the risk of surgical site infection from micro-abrasions - clipping is preferred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too time-consuming for staff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Increases the risk of surgical site infection from micro-abrasions - clipping is preferred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Razors create microscopic cuts that harbour bacteria - the current standard is clipping hair immediately before surgery (or leaving it), with showering using antiseptic soap beforehand.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Interferes with anaesthesia: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Damages the operating table: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too time-consuming for staff: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receiving sublingual medication, the nurse instructs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tablet under the tongue until it dissolves and avoid swallowing or chewing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Chew the tablet for faster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Crush it into the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Swallow it with a full glass of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tablet under the tongue until it dissolves and avoid swallowing or chewing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Sublingual drugs (nitroglycerin, sorbitrate) absorb through the rich venous plexus under the tongue into the systemic circulation - swallowing or chewing destroys the purpose and may inactivate the drug.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Chew the tablet for faster absorption: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Crush it into the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Swallow it with a full glass of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dying is becoming restless and has noisy, rattling breathing. The nurse's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Reposition for comfort, provide mouth care, and reassure the family that this is common at the end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Leave the client alone to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Suction the airway repeatedly every few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large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Reposition for comfort, provide mouth care, and reassure the family that this is common at the end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Death rattle from secretions is common and usually not distressing to the unconscious client - repositioning, mouth care, and family support matter; repeated suctioning is traumatic and not indicated.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Leave the client alone to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Suction the airway repeatedly every few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large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Guillain-Barre syndrome has a falling vital capacity. The nurse must be alert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Respiratory failure - vital capacity below 15-20 mL/kg needs ventilatory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rash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Joint swelling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Respiratory failure - vital capacity below 15-20 mL/kg needs ventilatory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GBS ascends to affect respiratory muscles - a vital capacity below 15-20 mL/kg or a falling trend signals impending respiratory failure and elective intubation is planned before crisis.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Skin rash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Joint swelling: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hyperthyroidism undergoing thyroidectomy develops stridor and respiratory distress 6 hours after surgery.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Simple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Urinary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Laryngeal oedema or recurrent laryngeal nerve injury - airway equipment must be at the bedside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Hypoglycaemia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Laryngeal oedema or recurrent laryngeal nerve injury - airway equipment must be at the bedside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Post-thyroidectomy stridor suggests laryngeal oedema, haematoma compressing the trachea, or bilateral recurrent laryngeal nerve injury - an airway emergency; tracheostomy set and suture removal scissors are kept ready.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Simple anxiety: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Urinary retention: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Addisonian crisis presents with profound hypotension, vomiting, and confusion. The priority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transfusion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Diuretics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hydrocortisone and rapid IV normal saline with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 paracetamol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IV hydrocortisone and rapid IV normal saline with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Addisonian crisis - acute adrenal insufficiency - is treated with IV hydrocortisone, isotonic saline, and glucose, with correction of hypoglycaemia and electrolytes; steroids must never be withheld during the crisis.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Blood transfusion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Diuretics: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Oral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uraemia develops a pericardial friction rub. The nurse should report this because it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Pleural effusion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Uraemic pericarditis - a precursor of cardiac tamponade in advanced kidney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heart sounds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Uraemic pericarditis - a precursor of cardiac tamponade in advanced kidney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friction rub in a uraemic client signals pericarditis - pericardial effusion and tamponade can follow; dialysis is intensified and the client monitored for hypotension, muffled sounds, and pulsus paradoxus.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Pleural effusion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heart sounds: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a prescription of which drug for a client with symptomatic bradycardia?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Isoprenaline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Beta-blocker (propranolol)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Atropine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Beta-blocker (propranolol)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Beta-blockers slow the heart further and are avoided in symptomatic bradycardia; atropine, adrenaline, and isoprenaline increase the heart rate and are used in management.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Adrenaline: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Isoprenaline: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Atropine: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liver disease develops ascites and tense abdominal distension.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a high-salt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sodium, measure abdominal girth and daily weight, and position semi-upright for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girth only at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Lie the client completely flat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Restrict sodium, measure abdominal girth and daily weight, and position semi-upright for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Ascites is managed with sodium restriction, diuretics (spironolactone), daily weight and girth measurement, and semi-Fowler's positioning to ease respiration; paracentesis is reserved for tense ascites.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Encourage a high-salt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Measure girth only at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Lie the client completely flat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asthma is given salbutamol nebulisation. The nurse should monitor for which side effect of the drug?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Hyperglycaemia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Tremor and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Bradycardia and drowsiness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Tremor and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Salbutamol, a beta-2 agonist, commonly causes tremor, palpitations, and tachycardia - it may also lower potassium; the client is reassured and the response to bronchodilation assessed.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Hyperglycaemia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Bradycardia and drowsiness: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head injury has clear fluid draining from the nose. The nurse should test the drainage with a glucose strip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Cerebrospinal fluid (rhinorrhoea) - the client should not blow the nose or insert swabs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nasal secretions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Cerebrospinal fluid (rhinorrhoea) - the client should not blow the nose or insert swabs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CSF contains glucose unlike normal nasal mucus - a positive glucose test (and the double-ring sign) confirms CSF leak; blowing the nose, coughing hard, or packing the nose is avoided to prevent meningitis.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Blood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nasal secretions: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omeprazole should be monitored for which potential deficiency?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Sodium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 overload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B12 and magnesium deficiency with prolonged 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Vitamin B12 and magnesium deficiency with prolonged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Long-term proton pump inhibitors reduce stomach acid needed to release B12 from food and can lower magnesium - periodic levels and supplements may be needed; hip fracture risk is also debated.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Sodium excess: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 overload: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C excess: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clopidogrel is started on omeprazole for gastritis. The nurse should know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Omeprazole may reduce clopidogrel's antiplatelet effect - pantoprazole is often preferred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Both drugs should be doubled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Clopidogrel becomes toxic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drugs have no interaction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Omeprazole may reduce clopidogrel's antiplatelet effect - pantoprazole is often preferred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Omeprazole inhibits CYP2C19, the enzyme that activates clopidogrel - reducing its efficacy after stents; pantoprazole (less CYP2C19 inhibition) is often substituted.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Both drugs should be doubled: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Clopidogrel becomes toxic: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drugs have no interaction: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amphotericin B should be monitored closely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Hypernatraemia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Renal impairment and hypokalaemia - hydration and electrolyte monitoring are routine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Renal impairment and hypokalaemia - hydration and electrolyte monitoring are routine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Amphotericin B is nephrotoxic and causes potassium and magnesium wasting - renal function and electrolytes are monitored, and pre-hydration with saline reduces nephrotoxicity.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Hypernatraemia: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prescribed alendronate for osteoporosis should be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with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Crush it into yoghurt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it on an empty stomach with a full glass of water and remain upright for 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it with milk at bedtime and lie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Take it on an empty stomach with a full glass of water and remain upright for 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Bisphosphonates can ulcerate the oesophagus - they are taken on rising, with plain water, and the client stays upright for at least 30 minutes before food or lying down.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it with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Crush it into yoghurt: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Take it with milk at bedtime and lie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carbamazepine should have which laboratory test monitored regularly?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Urine ketones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Random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Complete blood count - carbamazepine can cause agranulocytosis and aplastic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Serum calcium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Complete blood count - carbamazepine can cause agranulocytosis and aplastic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Carbamazepine can suppress the bone marrow - blood counts and serum drug levels are monitored, and the client reports fever, sore throat, or easy bruising promptly.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Urine ketones: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Random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Serum calcium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gives intravenous potassium chloride. Which practice is correct?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Add it to the blood transfusion 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Inject it into the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give as a bolus - dilute it and infuse slowly with a pump, monitoring the ECG and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it undiluted by rapid IV push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Never give as a bolus - dilute it and infuse slowly with a pump, monitoring the ECG and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IV potassium is always diluted (maximum about 40 mEq/L peripherally) and infused slowly - rapid or undiluted administration causes fatal hyperkalaemia and cardiac arrest; it is never given by push.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Add it to the blood transfusion line: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Inject it into the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it undiluted by rapid IV push: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methanol poisoning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Ethanol or fomepizole given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Protamine sulphate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Ethanol or fomepizole given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Methanol is metabolised to toxic formic acid - ethanol or fomepizole blocks that metabolism, and sodium bicarbonate and dialysis are added in severe poisoning.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Naloxone: Naloxone reverses opioid (narcotic) overdose - a different antidote situation.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K: Vitamin K reverses warfarin (oral anticoagulant) - not heparin.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Protamine sulphate: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amiodarone for arrhythmia should be observed for which serious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Pulmonary toxicity - a dry cough and breathlessness need early investigation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Acute glaucoma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Pulmonary toxicity - a dry cough and breathlessness need early investigation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Amiodarone can cause potentially fatal pneumonitis and pulmonary fibrosis - new cough, dyspnoea, or infiltrates on imaging warrant stopping the drug; thyroid, liver, and eye effects are also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Acute glaucoma: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30 weeks has a blood pressure of 160/110 mm Hg with headache and visual blurring. The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all fluids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tetanus toxoid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Ask the woman to rest and return next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Start magnesium sulfate and antihypertensives per protocol and monitor for seizures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Start magnesium sulfate and antihypertensives per protocol and monitor for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pre-eclampsia with symptoms threatens eclampsia - magnesium sulfate prevents seizures and antihypertensives control blood pressure; delivery is planned after stabilisation.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30 weeks | 110 mm hg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Restrict all fluids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tetanus toxoid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Ask the woman to rest and return next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early labour has a contraction frequency of every 2 minutes lasting 60 seconds.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the client to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for fetal distress and uterine hyperstimulation, and review the oxytocin infusion if running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Assess for fetal distress and uterine hyperstimulation, and review the oxytocin infusion if running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Contractions closer than every 2 minutes or lasting over 70 seconds risk uterine hyperstimulation and fetal hypoxia - the oxytocin is reduced or stopped and the FHR pattern evaluated.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Encourage the client to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Discharge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expects the first stool (meconium) of a healthy term newborn to appear within: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first 24-48 hours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second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after the first feed of cow's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month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first 24-48 hours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Meconium - dark green, sticky, sterile - is passed within the first 24-48 hours in 90-99% of term newborns; failure to pass meconium raises suspicion of bowel obstruction such as Hirschsprung disease.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second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after the first feed of cow's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One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with cracked nipples and engorged breasts is breast-feeding. The nurse advises her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breastfeeding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the baby only formula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Breastfeed more frequently from the less painful side first, correct the latch, and air-dry the nipples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strong antiseptic creams before every feed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Breastfeed more frequently from the less painful side first, correct the latch, and air-dry the nipples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Engorgement and cracked nipples improve with frequent feeding, correct positioning and latch, feeding from the tender side after milk let-down, and keeping nipples clean and dry; stopping feeds worsens engorgement.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breastfeeding for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the baby only formula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 strong antiseptic creams before every feed: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on injectable depot medroxyprogesterone acetate (DMPA) should be informed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injection is given every 3 months and periods may become scanty or stop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Fertility returns within one week of stopping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must be given every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protects against sexually transmitted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injection is given every 3 months and periods may become scanty or stop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DMPA (Depo-Provera) is given 150 mg every 3 months; irregular bleeding or amenorrhoea are common, fertility returns after about 9-12 months, and it does not protect against STIs.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Fertility returns within one week of stopping: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must be given every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protects against sexually transmitted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term with a twin pregnancy in vertex-breech presentation is in labour. The nurse understands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Deferral of all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Delivery of both twins vaginally without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Continuous fetal monitoring with readiness for cesarean or assisted breech delivery of the second twin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Induction with high-dose oxytocin from the start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Continuous fetal monitoring with readiness for cesarean or assisted breech delivery of the second twin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Twin labour needs continuous monitoring of both fetuses; the second twin may deliver breech or require assisted delivery - cesarean is performed for fetal distress or malpresentation.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Deferral of all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Delivery of both twins vaginally without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Induction with high-dose oxytocin from the start: Oxytocin is the first-line uterotonic for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1-year-old child is brought with fever, refusal to feed, and a bulging fontanelle. The priority action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cold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Assess for meningitis and arrange urgent lumbar puncture after stabilisation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Start weaning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the fever to settle naturally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Assess for meningitis and arrange urgent lumbar puncture after stabilisation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with a bulging fontanelle and poor feeding suggests meningitis in an infant - urgent evaluation with lumbar puncture, antibiotics, and supportive care is life-saving; it is a paediatric emergency.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1-year-old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cold bath: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Start weaning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Wait for the fever to settle naturally: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dehydration from diarrhoea who cannot drink is being rehydrated. The nurse should give: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fluids for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IV Ringer's lactate 100 mL/kg over 3-6 hours (WHO plan C), reassessing frequently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ORS by mouth immediately in large gulps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plain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IV Ringer's lactate 100 mL/kg over 3-6 hours (WHO plan C), reassessing frequently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plan C - IV Ringer's lactate 100 mL/kg (under 1 year: 30 mL/kg in 1 hour then 70 mL/kg over 5 hours; over 1 year: 30 mL/kg in 30 minutes then 70 mL/kg over 2.5 hours) - treats severe dehydration.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fluids for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ORS by mouth immediately in large gulps: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plain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6-month-old infant with fever develops a first febrile seizure. The priority nursing care during the seizure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Protect the airway, turn the child on the side, and remove nearby objects without restraining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oral medicines during the seizure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child's limbs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Insert a spoon into the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Protect the airway, turn the child on the side, and remove nearby objects without restraining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a seizure the child is laid on the side, the airway protected, and nothing is placed in the mouth; restraints and oral drugs are avoided - the time and pattern are recorded.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oral medicines during the seizure: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Hold the child's limbs tightly: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Insert a spoon into the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school-age child with nephrotic syndrome is on steroids. The nurse teaches the family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vaccinations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steroids as soon as swelling goes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fever or infection promptly and never stop steroids abruptly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aspirin freely for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Report fever or infection promptly and never stop steroids abruptly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Steroids must be tapered, never stopped abruptly (adrenal suppression), and infections are treated early because the child is immunosuppressed; live vaccines are deferred during high-dose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all vaccinations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steroids as soon as swelling goes: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aspirin freely for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an imperforate anus is noted to pass meconium through the urethra.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for the next stool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an enema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Feed the baby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baby nil orally, observe for abdominal distension, and prepare for surgical evaluation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 the baby nil orally, observe for abdominal distension, and prepare for surgical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Meconium in the urine indicates a recto-urinary fistula - the baby is kept nil orally with IV fluids and nasogastric decompression until surgical assessment; enemas and feeds are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Wait for the next stool: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an enema: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Feed the baby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3-year-old with severe anaemia receives a packed cell transfusion. The nurse should check: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identity of the child, the blood group, the unit number, and the expiry date with another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child's name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haemoglobin level after transfusion starts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mother's blood group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identity of the child, the blood group, the unit number, and the expiry date with another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Blood is checked by two qualified persons - child's identity, unit number, ABO/Rh group, and expiry - then started slowly with close observation for the first 15-30 minutes for reactions.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the child's name: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haemoglobin level after transfusion starts: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mother's blood group: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Suspected transfusion reaction: STOP the transfusion first, keep the vein open with normal saline, then notify.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National Health Mission, the Sub-centre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First point of contact between the community and the health system, serving 3000-5000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Medical college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Referral super-speciality centre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District-level hospital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First point of contact between the community and the health system, serving 3000-5000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Sub-centre - the most peripheral unit with an ANM and a male health worker - serves about 3000-5000 people in plains (and fewer in tribal areas) and links the village to the PHC.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Medical college: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Referral super-speciality centre: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District-level hospital: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sub-centre is the most peripheral health unit; one per 5,000 rural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Sub-centre is the most peripheral health unit; one per 5,000 rural population.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conducts a community health survey to estimate the prevalence of hypertension. The appropriate study design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Randomised controlled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Cohort study over decades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Case-control study for incidence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Cross-sectional study measuring disease and exposure at one point in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Cross-sectional study measuring disease and exposure at one point in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Prevalence - existing cases at a point in time - is measured by a cross-sectional survey; case-control studies examine past exposures and cohort studies measure incidence over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Randomised controlled trial: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Cohort study over decades: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Case-control study for incidence: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epidemiological triad of infectious disease, the three elements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Agent, host,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Bacteria, viruses, and fungi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Vectors, water, and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Hospitals, clinics, and labs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Agent, host,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Disease results from the interaction of the agent (pathogen), the host (susceptible person), and the environment - removing or modifying any element interrupts transmission.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Bacteria, viruses, and fungi: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Vectors, water, and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Hospitals, clinics, and labs: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'incubation period' of a disease is defined as the interval between: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Diagnosis and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Exposure and death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First symptom and full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Entry of the organism into the host and the appearance of the first symptom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Entry of the organism into the host and the appearance of the first symptom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Incubation period - from infection to first symptoms - varies by disease (hours for cholera, years for leprosy) and is used to trace the source and set quarantine periods.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Diagnosis and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Exposure and death: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First symptom and full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counselling a couple about family planning explains that the lactational amenorrhoea method is reliable only if: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mother feeds formula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baby is over one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baby is under six months, fully breastfed, and the mother has no menstruation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mother has resumed periods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baby is under six months, fully breastfed, and the mother has no menstruation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LAM is effective when all three conditions hold - exclusive breastfeeding, amenorrhoea, and an infant under six months; when any fails, another method is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mother feeds formula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baby is over one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mother has resumed periods: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Nursing process order: ADPIE - Assessment, Diagnosis, Planning, Implementation,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depression who has not eaten for two days is prescribed electroconvulsive therapy.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Withdraw all medications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 the client just before the 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Allow the client to drive home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client nil orally for 6-8 hours and ensure informed consent and pre-treatment checks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 the client nil orally for 6-8 hours and ensure informed consent and pre-treatment checks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ECT requires fasting to prevent aspiration, informed consent, a pre-procedure medical workup, and removal of dentures and jewellery; the client is monitored post-procedure for confusion and headache.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Withdraw all medications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Feed the client just before the session: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Allow the client to drive home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fluoxetine complains of agitation, sweating, and muscle twitching after adding tramadol.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Extrapyramidal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Neuroleptic malignant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Serotonin syndrome - stop both drugs and give supportive care and cyproheptadine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simple viral illness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Serotonin syndrome - stop both drugs and give supportive care and cyproheptadine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with tramadol (a serotoninergic opioid) can cause serotonin syndrome - agitation, hyperthermia, clonus, and autonomic instability - treated by stopping the drugs and supportive measures.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Extrapyramidal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Neuroleptic malignant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simple viral illness: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a manic phase is pacing, talking loudly, and not eating.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Argue with the client about the behaviour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competitive games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Put the client in a noisy common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a structured low-stimulation environment with frequent high-calorie snacks and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Provide a structured low-stimulation environment with frequent high-calorie snacks and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Mania needs a calm, structured environment with limited stimuli; high-calorie foods and fluids prevent exhaustion, and short, simple interactions conserve the client's energy.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Argue with the client about the behaviour: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competitive games: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Put the client in a noisy common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hormone that lowers blood glucose by promoting cellular uptake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Cortisol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Glucagon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Insulin - secreted by pancreatic beta cells - moves glucose into cells and lowers blood sugar; glucagon, cortisol, and adrenaline raise blood glucose.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Adrenaline: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Cortisol: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Glucagon: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adult cardiac output at rest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litres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500 mL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litre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litres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 litres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Cardiac output = stroke volume (about 70 mL) x heart rate (about 72/min) - roughly 5 L/min at rest; it rises with exercise, fever, and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500 mL per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litre per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litres per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ADH and oxytocin are made in the hypothalamus but released by the POSTERIOR pituitary.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organism of cholera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Vibrio cholerae - a comma-shaped gram-negative bacillus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Shigella dysenteriae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Salmonella typhi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Vibrio cholerae - a comma-shaped gram-negative bacillus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Cholera - rice-water stools and severe dehydration - is caused by Vibrio cholerae, spread by contaminated water; typhoid is Salmonella typhi and shigellosis by Shigella.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Shigella dysenteriae: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Escherichia coli: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Salmonella typhi: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vitamin whose deficiency causes scurvy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C deficiency causes scurvy - bleeding gums, poor wound healing, and petechiae; citrus fruits, amla, and green vegetables are rich sources.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D: Vitamin D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A: Vitamin A deficiency causes night blindness and xerophthalmia.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instrument used to measure the amount of water vapour in the air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Aneroid gauge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Manometer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Barometer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hygrometer measures humidity (water vapour in air); a barometer measures atmospheric pressure and a manometer measures gas or fluid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Aneroid gauge: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Manometer: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Barometer: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'A body at rest tends to remain at rest unless acted upon by an external force' - this is Newton's: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First law of motion (law of inertia)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Law of gravitation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Third law of 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Second law of motion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First law of motion (law of inertia)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Newton's first law - inertia - describes how bodies resist changes in their state of motion; the second law relates force, mass, and acceleration and the third law deals with action-reaction.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Law of gravitation: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Third law of motion: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Second law of motion: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energy possessed by a body due to its position or height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Nuclear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Potential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Heat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Kinetic energy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Potential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Potential energy (mgh) is stored energy of position - a raised weight or water behind a dam; kinetic energy (1/2 mv^2) is the energy of motion.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Nuclear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Heat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Kinetic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mercury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Mercury is Hg (from the Latin hydrargyrum); Mg is magnesium, Mn is manganese, and silver is Ag.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hardest naturally occurring substance known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Quartz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Graphite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Talc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Diamond - a crystalline form of carbon - scores 10 on the Mohs scale and is the hardest natural substance; talc is the softest at 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Quartz: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Graphite: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Talc: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range of serum potassium in adults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7.5-9.0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3.5-5.0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5.5-7.0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2.0-3.0 mEq/L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3.5-5.0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Normal serum potassium is 3.5-5.0 mEq/L - below 3.5 is hypokalaemia and above 5.0 is hyperkalaemia, both capable of causing dangerous cardiac arrhythmias.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7.5-9.0 mEq/L: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5.5-7.0 mEq/L: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2.0-3.0 mEq/L: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Photosynthesis in green plants takes place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Ribosome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Mitochondrion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Chloroplast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Chloroplast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Chloroplasts contain chlorophyll and convert light energy, water, and carbon dioxide into glucose and oxygen; mitochondria are the site of cellular respiration.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Ribosome: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Mitochondrion: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Nucleus: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bending of light as it passes from one transparent medium into another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Diffraction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Dispersion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Refraction is the change in direction of light at a medium boundary (a pencil appears bent in water); reflection is bouncing back, and dispersion splits white light into colours.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Diffraction: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Reflection: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Dispersion: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capacitance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Farad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Tesla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Henry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Farad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Capacitance - the ability to store electric charge - is measured in farads; the henry measures inductance, the tesla magnetic flux density, and the weber magnetic flux.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Tesla: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Henry: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synthesised in the human skin on exposure to sunlight?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Sunlight converts 7-dehydrocholesterol in the skin to vitamin D3 - essential for calcium absorption and bone health;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K: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42nd Amendment Act of the Constitution of India is popularly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Mini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People's 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Basic Structure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Federal Constitution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Mini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42nd Amendment (1976) - the most comprehensive amendment - is called the Mini Constitution; it added fundamental duties and the words socialist, secular, and integrity to the Preamble.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People's Act: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Basic Structure: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Federal Constitution: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State Bank of India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New Delhi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State Bank of India - the country's largest public sector bank - has its corporate headquarters in Mumbai; it was nationalised in 1955 from the Imperial Bank of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New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to win an individual Olympic gold medal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P.T. Usha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Abhinav Bindra (shooting, 2008)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Sushil Kumar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Milkha Singh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Abhinav Bindra (shooting, 2008)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Abhinav Bindra won gold in 10 m air rifle at Beijing 2008 - India's first individual Olympic gold; hockey team golds had come earlier.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P.T. Usha: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Sushil Kumar: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Milkha Singh: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'Blue Revolution' in India is associated with which sector?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Fish and aquaculture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Dairy farming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Petroleum refining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Cotton textiles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Fish and aquaculture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Blue Revolution boosted fish and aquaculture production; the White Revolution (Operation Flood) transformed dairying and the Green Revolution boosted food grains.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Dairy farming: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Petroleum refining: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Cotton textiles: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World Health Day is observed every year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December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April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June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7 April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World Health Day - 7 April - marks the founding of WHO in 1948; 1 December is World AIDS Day and 5 June is World Environment 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24 October: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December: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June: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Strait of Malacca connects the Indian Ocean with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Pacific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Caspian 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Arctic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Atlantic Ocean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Pacific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Malacca Strait - between Malaysia and Sumatra - links the Indian Ocean and the South China Sea (Pacific), carrying about a quarter of the world's trade.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Caspian Sea: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Arctic Ocean: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Atlantic Ocean: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state with the longest coastline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Gujarat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Gujarat has the longest coastline in India (about 1,600 km); Tamil Nadu and Andhra Pradesh follow, and Maharashtra's coastline is shorter but includes Mumbai.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Odisha: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Tamil Nadu: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anthem of India, 'Jana Gana Mana', was written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Bankim Chandra Chatterjee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Sarojini Naidu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Rabindranath Tagore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Tagore wrote 'Jana Gana Mana' (adopted 1950); Bankim Chandra Chatterjee wrote 'Vande Mataram' - the national song - and the flag was designed by Pingali Venkayya.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Bankim Chandra Chatterjee: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Sarojini Naidu: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currency of China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Yuan (Renminbi)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Yuan (Renminbi)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China's currency is the yuan (renminbi); the won is South Korea's, the baht Thailand's, and the ruble is Russia's.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Ruble: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Article of the Indian Constitution empowers the President to declare a national emergency?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356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352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368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Article 352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352 allows a national emergency (war, external aggression, armed rebellion); Article 356 is President's Rule in states, Article 360 is financial emergency, and Article 368 governs amendments.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Article 356: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360: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Article 368: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15% of 240 plus 25% of 160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15% of 240 = 36 and 25% of 160 = 40; total = 76.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is sold for Rs 540 after giving a discount of 10% on the marked price. The marked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660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594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486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Selling price = 90% of marked price, so marked price = 540 x 100/90 = Rs 600.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660: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594: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486: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48, 72, and 108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48 = 2^4 x 3, 72 = 2^3 x 3^2, 108 = 2^2 x 3^3; HCF = 2^2 x 3 = 12.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HCF: take the lowest power of the common prime factors.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3x + 5 = 20, then the value of x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3x = 20 - 5 = 15, so x = 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12,500 at 8% per annum for 3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3,000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2,400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3,600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3,000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P x R x T / 100 = 12,500 x 8 x 3 / 100 = Rs 3,000.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4,000: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2,400: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3,600: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money doubles itself in 8 years at simple interest. The rate of interest per annum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12.5%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For doubling, interest equals principal, so rate = 100/8 = 12.5% per annum.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16%: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class of 40 students, 60% are boys. The number of girls in the class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Boys = 60% of 40 = 24, so girls = 40 - 24 = 16.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next term in the series 2, 6, 12, 20, 30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Differences are +4, +6, +8, +10, so the next difference is +12: 30 + 12 = 42.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3:15, the angle between the hour hand and the minute hand of a clock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7.5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7.5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At 3:15 the minute hand is at 90 degrees and the hour hand has moved 15/60 x 30 = 7.5 degrees past 90 - the angle is 7.5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5 workers can complete a job in 12 days, the number of days 3 workers will take to complete the same job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Work is constant: 5 x 12 = 3 x D, so D = 60/3 = 20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24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18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