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The normal prothrombin time (PT) is approximately:</w:t>
      </w:r>
    </w:p>
    <w:p>
      <w:r>
        <w:t>(a) 2–5 seconds</w:t>
      </w:r>
    </w:p>
    <w:p>
      <w:r>
        <w:t>(b) 11–13.5 seconds</w:t>
      </w:r>
    </w:p>
    <w:p>
      <w:r>
        <w:t>(c) 30–40 seconds</w:t>
      </w:r>
    </w:p>
    <w:p>
      <w:r>
        <w:t>(d) 60–80 seconds</w:t>
      </w:r>
    </w:p>
    <w:p>
      <w:r>
        <w:t>Answer: b</w:t>
      </w:r>
    </w:p>
    <w:p>
      <w:r>
        <w:t>Solution: ✅ Correct Answer: (b) 11–13.5 seconds</w:t>
      </w:r>
    </w:p>
    <w:p>
      <w:r>
        <w:t xml:space="preserve">🧠 Clinical Rationale: PT measures the extrinsic coagulation pathway (factors VII, X, V, II, fibrinogen) and is reported as seconds (normal ~11–13.5 s, lab-dependent) or as INR (normal 0.8–1.2). PT/INR is used to monitor warfarin therapy; it is prolonged in liver disease, vitamin K deficiency, and DIC.</w:t>
      </w:r>
    </w:p>
    <w:p>
      <w:r>
        <w:t xml:space="preserve">🔍 Key Clues: "Prothrombin time (PT)" → the warfarin/extrinsic pathway test → normal 11–13.5 seconds.</w:t>
      </w:r>
    </w:p>
    <w:p>
      <w:r>
        <w:t xml:space="preserve">❌ Why Not Other Options?</w:t>
      </w:r>
    </w:p>
    <w:p>
      <w:r>
        <w:t>(c) — 30–40 seconds is the normal aPTT range (intrinsic pathway/heparin), not PT.</w:t>
      </w:r>
    </w:p>
    <w:p>
      <w:r>
        <w:t>(d) — 60–80 seconds is the therapeutic heparin range for aPTT, not a normal PT.</w:t>
      </w:r>
    </w:p>
    <w:p>
      <w:r>
        <w:t>(a) — 2–5 seconds is far too short to reflect clot formation time.</w:t>
      </w:r>
    </w:p>
    <w:p>
      <w:r>
        <w:t xml:space="preserve">⚠️ Exam Trap: PT/INR ↔ warfarin; aPTT ↔ heparin. Swapping the two clotting tests and their normal ranges is a classic exam error.</w:t>
      </w:r>
    </w:p>
    <w:p>
      <w:r>
        <w:t xml:space="preserve">💎 PNC Pearl: "PT for the pill (warfarin), PTT for the pump (heparin)." INR target on warfarin = 2–3.</w:t>
      </w:r>
    </w:p>
    <w:p>
      <w:r>
        <w:t xml:space="preserve">📌 Concept Extension: Bleeding on warfarin → vitamin K (antidote); fresh frozen plasma for severe bleeding.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providing care to a patient with an ileostomy. Which characteristic is expected?</w:t>
      </w:r>
    </w:p>
    <w:p>
      <w:r>
        <w:t>(a) No output</w:t>
      </w:r>
    </w:p>
    <w:p>
      <w:r>
        <w:t>(b) Bloody output</w:t>
      </w:r>
    </w:p>
    <w:p>
      <w:r>
        <w:t>(c) Continuous, liquid effluent rich in digestive enzymes</w:t>
      </w:r>
    </w:p>
    <w:p>
      <w:r>
        <w:t>(d) Formed stool</w:t>
      </w:r>
    </w:p>
    <w:p>
      <w:r>
        <w:t>Answer: c</w:t>
      </w:r>
    </w:p>
    <w:p>
      <w:r>
        <w:t>Solution: ✅ Correct Answer: (c) Continuous, liquid effluent rich in digestive enzymes</w:t>
      </w:r>
    </w:p>
    <w:p>
      <w:r>
        <w:t xml:space="preserve">🧠 Clinical Rationale: An ileostomy is created from the ileum (small bowel), where contents are liquid and digestive enzymes are still active. The stoma therefore produces continuous, semi-liquid effluent that is highly corrosive to skin — a skin barrier/frame is essential, and the pouch is emptied frequently.</w:t>
      </w:r>
    </w:p>
    <w:p>
      <w:r>
        <w:t xml:space="preserve">🔍 Key Clues: "Ileostomy" = SMALL bowel stoma → liquid, enzyme-rich, continuous output.</w:t>
      </w:r>
    </w:p>
    <w:p>
      <w:r>
        <w:t xml:space="preserve">❌ Why Not Other Options?</w:t>
      </w:r>
    </w:p>
    <w:p>
      <w:r>
        <w:t>(d) — Formed stool is the expected output of a COLOSTOMY (large bowel stoma), not an ileostomy.</w:t>
      </w:r>
    </w:p>
    <w:p>
      <w:r>
        <w:t>(a) — No output suggests obstruction — normal ileostomies begin functioning within hours to days.</w:t>
      </w:r>
    </w:p>
    <w:p>
      <w:r>
        <w:t>(b) — Bloody output is abnormal and suggests irritation, ischemia, or bleeding.</w:t>
      </w:r>
    </w:p>
    <w:p>
      <w:r>
        <w:t xml:space="preserve">⚠️ Exam Trap: Ileostomy = liquid output + skin protection; colostomy = more formed output. Match the stoma to the bowel segment.</w:t>
      </w:r>
    </w:p>
    <w:p>
      <w:r>
        <w:t xml:space="preserve">💎 PNC Pearl: Ileostomy effluent is corrosive — use a barrier ring/wafers; change the pouch before it leaks onto skin.</w:t>
      </w:r>
    </w:p>
    <w:p>
      <w:r>
        <w:t xml:space="preserve">📌 Concept Extension: Monitor output (high-output ileostomy → dehydration/electrolyte loss); teach fluid and sodium intake.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diabetes mellitus is experiencing hypoglycemia (blood glucose 40 mg/dL). The priority nursing action is:</w:t>
      </w:r>
    </w:p>
    <w:p>
      <w:r>
        <w:t>(a) Wait for symptoms to resolve</w:t>
      </w:r>
    </w:p>
    <w:p>
      <w:r>
        <w:t>(b) Give 15–20 g of fast-acting carbohydrate (glucose, juice) and recheck in 15 minutes</w:t>
      </w:r>
    </w:p>
    <w:p>
      <w:r>
        <w:t>(c) Give insulin</w:t>
      </w:r>
    </w:p>
    <w:p>
      <w:r>
        <w:t>(d) Withhold all food</w:t>
      </w:r>
    </w:p>
    <w:p>
      <w:r>
        <w:t>Answer: b</w:t>
      </w:r>
    </w:p>
    <w:p>
      <w:r>
        <w:t>Solution: ✅ Correct Answer: (b) Give 15–20 g of fast-acting carbohydrate (glucose, juice) and recheck in 15 minutes</w:t>
      </w:r>
    </w:p>
    <w:p>
      <w:r>
        <w:t xml:space="preserve">🧠 Clinical Rationale: Hypoglycemia (&lt;70 mg/dL; 40 mg/dL is severe) is treated with the "rule of 15": give 15–20 g of fast-acting carbohydrate (4 oz juice, glucose tablets, sugar), wait 15 minutes, and recheck the glucose; repeat if still low, then follow with a snack. If the patient is unconscious, give IV dextrose or glucagon — never oral fluids.</w:t>
      </w:r>
    </w:p>
    <w:p>
      <w:r>
        <w:t xml:space="preserve">🔍 Key Clues: "Blood glucose 40 mg/dL" = hypoglycemia → fast-acting carbohydrate + recheck in 15 minutes.</w:t>
      </w:r>
    </w:p>
    <w:p>
      <w:r>
        <w:t xml:space="preserve">❌ Why Not Other Options?</w:t>
      </w:r>
    </w:p>
    <w:p>
      <w:r>
        <w:t>(c) — Insulin LOWERS glucose further — it would worsen the hypoglycemia dangerously.</w:t>
      </w:r>
    </w:p>
    <w:p>
      <w:r>
        <w:t>(d) — Withholding food starves the patient and delays correction.</w:t>
      </w:r>
    </w:p>
    <w:p>
      <w:r>
        <w:t>(a) — Waiting without treatment risks seizures, coma, and brain damage.</w:t>
      </w:r>
    </w:p>
    <w:p>
      <w:r>
        <w:t xml:space="preserve">⚠️ Exam Trap: Hypoglycemia + conscious → oral glucose; hypoglycemia + unconscious → IV dextrose (D50) or glucagon — NEVER oral anything.</w:t>
      </w:r>
    </w:p>
    <w:p>
      <w:r>
        <w:t xml:space="preserve">💎 PNC Pearl: Rule of 15: 15 g carbs → wait 15 min → recheck → repeat if still &lt;70 → then long-acting snack.</w:t>
      </w:r>
    </w:p>
    <w:p>
      <w:r>
        <w:t xml:space="preserve">📌 Concept Extension: Identify the cause (missed meal, excess insulin, exercise) and teach prevention — carry glucose always.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at 30 weeks of gestation is being monitored for preterm labor. Which finding indicates preterm labor?</w:t>
      </w:r>
    </w:p>
    <w:p>
      <w:r>
        <w:t>(a) Increased fetal movement</w:t>
      </w:r>
    </w:p>
    <w:p>
      <w:r>
        <w:t>(b) Braxton Hicks contractions</w:t>
      </w:r>
    </w:p>
    <w:p>
      <w:r>
        <w:t>(c) Single contraction</w:t>
      </w:r>
    </w:p>
    <w:p>
      <w:r>
        <w:t>(d) Regular uterine contractions with cervical change before 37 weeks</w:t>
      </w:r>
    </w:p>
    <w:p>
      <w:r>
        <w:t>Answer: d</w:t>
      </w:r>
    </w:p>
    <w:p>
      <w:r>
        <w:t>Solution: ✅ Correct Answer: (d) Regular uterine contractions with cervical change before 37 weeks</w:t>
      </w:r>
    </w:p>
    <w:p>
      <w:r>
        <w:t xml:space="preserve">🧠 Clinical Rationale: Preterm labor is defined as regular uterine contractions WITH cervical effacement and/or dilatation occurring before 37 completed weeks. The diagnosis requires BOTH contractions AND cervical change — transient contractions alone (Braxton Hicks) are not labor.</w:t>
      </w:r>
    </w:p>
    <w:p>
      <w:r>
        <w:t xml:space="preserve">🔍 Key Clues: "Before 37 weeks" + "preterm labor" → contractions + cervical change = the diagnostic pair.</w:t>
      </w:r>
    </w:p>
    <w:p>
      <w:r>
        <w:t xml:space="preserve">❌ Why Not Other Options?</w:t>
      </w:r>
    </w:p>
    <w:p>
      <w:r>
        <w:t xml:space="preserve">(b) — Braxton Hicks are irregular, painless practice contractions WITHOUT cervical change — not labor.</w:t>
      </w:r>
    </w:p>
    <w:p>
      <w:r>
        <w:t xml:space="preserve">(c) — A single contraction does not establish labor; regular, progressive contractions are required.</w:t>
      </w:r>
    </w:p>
    <w:p>
      <w:r>
        <w:t>(a) — Increased fetal movement is a reassuring fetal sign, not a labor indicator.</w:t>
      </w:r>
    </w:p>
    <w:p>
      <w:r>
        <w:t xml:space="preserve">⚠️ Exam Trap: The trap is choosing Braxton Hicks. The distinguishing feature is CERVICAL CHANGE — irregular contractions without dilatation are not preterm labor.</w:t>
      </w:r>
    </w:p>
    <w:p>
      <w:r>
        <w:t xml:space="preserve">💎 PNC Pearl: Preterm labor = contractions + cervical change &lt;37 weeks. Tocolytic (nifedipine), betamethasone (lung maturity), MgSO₄ (neuroprotection).</w:t>
      </w:r>
    </w:p>
    <w:p>
      <w:r>
        <w:t xml:space="preserve">📌 Concept Extension: Fetal fibronectin and cervical length (transvaginal ultrasound) help predict preterm birth risk.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4-year-old child with croup has stridor at rest. The nurse should:</w:t>
      </w:r>
    </w:p>
    <w:p>
      <w:r>
        <w:t>(a) Administer oxygen, keep the child calm, and prepare for nebulized adrenaline</w:t>
      </w:r>
    </w:p>
    <w:p>
      <w:r>
        <w:t>(b) Position the child supine</w:t>
      </w:r>
    </w:p>
    <w:p>
      <w:r>
        <w:t>(c) Send the child home</w:t>
      </w:r>
    </w:p>
    <w:p>
      <w:r>
        <w:t>(d) Give oral fluids rapidly</w:t>
      </w:r>
    </w:p>
    <w:p>
      <w:r>
        <w:t>Answer: a</w:t>
      </w:r>
    </w:p>
    <w:p>
      <w:r>
        <w:t xml:space="preserve">Solution: ✅ Correct Answer: (a) Administer oxygen, keep the child calm, and prepare for nebulized adrenaline</w:t>
      </w:r>
    </w:p>
    <w:p>
      <w:r>
        <w:t xml:space="preserve">🧠 Clinical Rationale: Stridor AT REST indicates moderate–severe croup (laryngotracheobronchitis). Treatment includes oxygen, nebulized adrenaline (epinephrine) to shrink airway edema, and corticosteroids (dexamethasone) to reduce inflammation. Keeping the child calm prevents crying-induced worsening of obstruction.</w:t>
      </w:r>
    </w:p>
    <w:p>
      <w:r>
        <w:t xml:space="preserve">🔍 Key Clues: "Stridor at rest" = airway narrowing at baseline → this is a severity red flag, not a home-care case.</w:t>
      </w:r>
    </w:p>
    <w:p>
      <w:r>
        <w:t xml:space="preserve">❌ Why Not Other Options?</w:t>
      </w:r>
    </w:p>
    <w:p>
      <w:r>
        <w:t>(c) — Sending home a child with resting stridor risks sudden airway obstruction; admission is required.</w:t>
      </w:r>
    </w:p>
    <w:p>
      <w:r>
        <w:t>(d) — Rapid oral fluids risk aspiration and agitation in a child with respiratory distress.</w:t>
      </w:r>
    </w:p>
    <w:p>
      <w:r>
        <w:t>(b) — Supine worsens airway obstruction; the child should sit upright (often on the parent's lap).</w:t>
      </w:r>
    </w:p>
    <w:p>
      <w:r>
        <w:t xml:space="preserve">⚠️ Exam Trap: Mild croup = home care with cool mist; stridor AT REST = hospital + nebulized adrenaline. The phrase "at rest" is the deciding clue.</w:t>
      </w:r>
    </w:p>
    <w:p>
      <w:r>
        <w:t xml:space="preserve">💎 PNC Pearl: Croup severity ladder: no stridor at rest (mild) → stridor at rest (moderate) → cyanosis/agitation (severe/ICU).</w:t>
      </w:r>
    </w:p>
    <w:p>
      <w:r>
        <w:t xml:space="preserve">📌 Concept Extension: Watch for worsening (retractions, cyanosis, exhaustion) — impending respiratory failure needs ICU and possible intubation.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major depressive disorder is prescribed an SSRI. The nurse should monitor the patient during the first weeks of treatment for:</w:t>
      </w:r>
    </w:p>
    <w:p>
      <w:r>
        <w:t>(a) Worsening depression or suicidal ideation</w:t>
      </w:r>
    </w:p>
    <w:p>
      <w:r>
        <w:t>(b) Weight loss only</w:t>
      </w:r>
    </w:p>
    <w:p>
      <w:r>
        <w:t>(c) Immediate cure</w:t>
      </w:r>
    </w:p>
    <w:p>
      <w:r>
        <w:t>(d) No side effects</w:t>
      </w:r>
    </w:p>
    <w:p>
      <w:r>
        <w:t>Answer: a</w:t>
      </w:r>
    </w:p>
    <w:p>
      <w:r>
        <w:t xml:space="preserve">Solution: ✅ Correct Answer: (a) Worsening depression or suicidal ideation</w:t>
      </w:r>
    </w:p>
    <w:p>
      <w:r>
        <w:t xml:space="preserve">🧠 Clinical Rationale: SSRIs take 2–6 weeks for full effect, but in the first weeks they may transiently increase agitation, anxiety, and suicidal ideation — especially in adolescents and young adults. The nurse assesses mood and suicide risk at every contact, educates the family, and supports adherence through the lag period.</w:t>
      </w:r>
    </w:p>
    <w:p>
      <w:r>
        <w:t xml:space="preserve">🔍 Key Clues: "First weeks of treatment" + "SSRI" → the black-box warning window: worsening depression/suicidality.</w:t>
      </w:r>
    </w:p>
    <w:p>
      <w:r>
        <w:t xml:space="preserve">❌ Why Not Other Options?</w:t>
      </w:r>
    </w:p>
    <w:p>
      <w:r>
        <w:t>(c) — SSRIs are not immediately curative; clinical response takes weeks — expecting an "immediate cure" is unrealistic.</w:t>
      </w:r>
    </w:p>
    <w:p>
      <w:r>
        <w:t>(b) — SSRIs may cause weight GAIN (long-term), and the question asks about the dangerous early-monitoring item.</w:t>
      </w:r>
    </w:p>
    <w:p>
      <w:r>
        <w:t xml:space="preserve">(d) — "No side effects" ignores the well-documented early risk profile.</w:t>
      </w:r>
    </w:p>
    <w:p>
      <w:r>
        <w:t xml:space="preserve">⚠️ Exam Trap: Antidepressant initiation = watch for INCREASED suicidality in the first weeks. This FDA black-box warning is a favorite exam point.</w:t>
      </w:r>
    </w:p>
    <w:p>
      <w:r>
        <w:t xml:space="preserve">💎 PNC Pearl: SSRI early side effects: nausea, insomnia/agitation, sexual dysfunction; benefits appear in 2–6 weeks.</w:t>
      </w:r>
    </w:p>
    <w:p>
      <w:r>
        <w:t xml:space="preserve">📌 Concept Extension: Serotonin syndrome (fever, rigidity, agitation, myoclonus) is an emergency — especially with MAOIs or linezolid.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"Atal Mission for Rejuvenation and Urban Transformation" (AMRUT) focuses on:</w:t>
      </w:r>
    </w:p>
    <w:p>
      <w:r>
        <w:t>(a) Space research</w:t>
      </w:r>
    </w:p>
    <w:p>
      <w:r>
        <w:t>(b) Agriculture only</w:t>
      </w:r>
    </w:p>
    <w:p>
      <w:r>
        <w:t>(c) Rural roads</w:t>
      </w:r>
    </w:p>
    <w:p>
      <w:r>
        <w:t>(d) Urban infrastructure — water supply, sewerage, and urban transport</w:t>
      </w:r>
    </w:p>
    <w:p>
      <w:r>
        <w:t>Answer: d</w:t>
      </w:r>
    </w:p>
    <w:p>
      <w:r>
        <w:t>Solution: ✅ Correct Answer: (d) Urban infrastructure — water supply, sewerage, and urban transport</w:t>
      </w:r>
    </w:p>
    <w:p>
      <w:r>
        <w:t xml:space="preserve">🧠 Clinical Rationale: AMRUT (launched 2015) improves basic urban infrastructure in selected cities: water supply, sewerage and septage management, storm drainage, urban transport, and green spaces — with a focus on poor and marginalized populations.</w:t>
      </w:r>
    </w:p>
    <w:p>
      <w:r>
        <w:t xml:space="preserve">🔍 Key Clues: "Urban Transformation" in the name → the mission serves CITIES and their basic infrastructure.</w:t>
      </w:r>
    </w:p>
    <w:p>
      <w:r>
        <w:t xml:space="preserve">❌ Why Not Other Options?</w:t>
      </w:r>
    </w:p>
    <w:p>
      <w:r>
        <w:t>(c) — Rural roads fall under PMGSY (Pradhan Mantri Gram Sadak Yojana), a rural scheme.</w:t>
      </w:r>
    </w:p>
    <w:p>
      <w:r>
        <w:t>(a) — Space research is ISRO's domain.</w:t>
      </w:r>
    </w:p>
    <w:p>
      <w:r>
        <w:t>(b) — Agriculture is served by schemes like PM-KISAN and PMFBY.</w:t>
      </w:r>
    </w:p>
    <w:p>
      <w:r>
        <w:t xml:space="preserve">⚠️ Exam Trap: "Urban" vs "rural" in scheme names: AMRUT = urban; PMGSY = rural roads; RURBAN Mission = rural-urban clusters.</w:t>
      </w:r>
    </w:p>
    <w:p>
      <w:r>
        <w:t xml:space="preserve">💎 PNC Pearl: AMRUT = cities: water + sewerage + transport + green spaces. Smart Cities Mission is its sister program.</w:t>
      </w:r>
    </w:p>
    <w:p>
      <w:r>
        <w:t xml:space="preserve">📌 Concept Extension: AMRUT 2.0 (2021) targets universal water supply coverage in all statutory towns.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to administer 500 mg of a medication. The vial contains 1 g in 4 mL. The volume to give is:</w:t>
      </w:r>
    </w:p>
    <w:p>
      <w:r>
        <w:t>(a) 4 mL</w:t>
      </w:r>
    </w:p>
    <w:p>
      <w:r>
        <w:t>(b) 8 mL</w:t>
      </w:r>
    </w:p>
    <w:p>
      <w:r>
        <w:t>(c) 2 mL</w:t>
      </w:r>
    </w:p>
    <w:p>
      <w:r>
        <w:t>(d) 1 mL</w:t>
      </w:r>
    </w:p>
    <w:p>
      <w:r>
        <w:t>Answer: c</w:t>
      </w:r>
    </w:p>
    <w:p>
      <w:r>
        <w:t>Solution: ✅ Correct Answer: (c) 2 mL</w:t>
      </w:r>
    </w:p>
    <w:p>
      <w:r>
        <w:t xml:space="preserve">🧠 Clinical Rationale: Concentration = 1 g/4 mL = 1000 mg/4 mL = 250 mg/mL. Volume = Desired ÷ Concentration = 500 mg ÷ 250 mg/mL = 2 mL. Check: 2 mL × 250 mg/mL = 500 mg ✓.</w:t>
      </w:r>
    </w:p>
    <w:p>
      <w:r>
        <w:t xml:space="preserve">🔍 Key Clues: "1 g in 4 mL" → convert grams to mg first (1 g = 1000 mg), then divide.</w:t>
      </w:r>
    </w:p>
    <w:p>
      <w:r>
        <w:t xml:space="preserve">❌ Why Not Other Options?</w:t>
      </w:r>
    </w:p>
    <w:p>
      <w:r>
        <w:t>(d) — 1 mL delivers 250 mg — only half the ordered dose.</w:t>
      </w:r>
    </w:p>
    <w:p>
      <w:r>
        <w:t>(a) — 4 mL delivers the entire 1 g — double the dose.</w:t>
      </w:r>
    </w:p>
    <w:p>
      <w:r>
        <w:t>(b) — 8 mL delivers 2 g — a serious overdose.</w:t>
      </w:r>
    </w:p>
    <w:p>
      <w:r>
        <w:t xml:space="preserve">⚠️ Exam Trap: Unit conversion is the trap: 1 g = 1000 mg. Missing the conversion (treating 1 g as 100 mg) gives wrong volumes.</w:t>
      </w:r>
    </w:p>
    <w:p>
      <w:r>
        <w:t xml:space="preserve">💎 PNC Pearl: Convert to the same unit first: 500 mg ÷ 250 mg/mL = 2 mL. Always verify units cancel.</w:t>
      </w:r>
    </w:p>
    <w:p>
      <w:r>
        <w:t xml:space="preserve">📌 Concept Extension: High-alert meds (e.g., heparin, insulin) always require double-checking calculations with a second nurse.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normal adult temperature (oral) is approximately:</w:t>
      </w:r>
    </w:p>
    <w:p>
      <w:r>
        <w:t>(a) 39–40°C</w:t>
      </w:r>
    </w:p>
    <w:p>
      <w:r>
        <w:t>(b) 36.5–37.5°C (97.6–99.6°F)</w:t>
      </w:r>
    </w:p>
    <w:p>
      <w:r>
        <w:t>(c) 34–35°C</w:t>
      </w:r>
    </w:p>
    <w:p>
      <w:r>
        <w:t>(d) 41–42°C</w:t>
      </w:r>
    </w:p>
    <w:p>
      <w:r>
        <w:t>Answer: b</w:t>
      </w:r>
    </w:p>
    <w:p>
      <w:r>
        <w:t>Solution: ✅ Correct Answer: (b) 36.5–37.5°C (97.6–99.6°F)</w:t>
      </w:r>
    </w:p>
    <w:p>
      <w:r>
        <w:t xml:space="preserve">🧠 Clinical Rationale: Normal oral temperature is 36.5–37.5°C (97.6–99.6°F). Fever is defined as ≥38°C (100.4°F). Site differences matter: rectal is ~0.5°C higher than oral, axillary ~0.5°C lower; the nurse always documents the route used.</w:t>
      </w:r>
    </w:p>
    <w:p>
      <w:r>
        <w:t xml:space="preserve">🔍 Key Clues: "Normal adult temperature (oral)" → anchor 36.5–37.5°C / 97.6–99.6°F.</w:t>
      </w:r>
    </w:p>
    <w:p>
      <w:r>
        <w:t xml:space="preserve">❌ Why Not Other Options?</w:t>
      </w:r>
    </w:p>
    <w:p>
      <w:r>
        <w:t>(a) — 39–40°C is high fever (pyrexia), not normal.</w:t>
      </w:r>
    </w:p>
    <w:p>
      <w:r>
        <w:t xml:space="preserve">(c) — 34–35°C is hypothermia.</w:t>
      </w:r>
    </w:p>
    <w:p>
      <w:r>
        <w:t xml:space="preserve">(d) — 41–42°C is hyperpyrexia — dangerous and not normal.</w:t>
      </w:r>
    </w:p>
    <w:p>
      <w:r>
        <w:t xml:space="preserve">⚠️ Exam Trap: Know the route hierarchy: rectal &gt; oral &gt; axillary (about 0.5°C steps). A temperature is only interpretable when the site is stated.</w:t>
      </w:r>
    </w:p>
    <w:p>
      <w:r>
        <w:t xml:space="preserve">💎 PNC Pearl: Normal oral 37°C (98.6°F); fever ≥38°C (100.4°F); hyperpyrexia &gt;41.5°C.</w:t>
      </w:r>
    </w:p>
    <w:p>
      <w:r>
        <w:t xml:space="preserve">📌 Concept Extension: Febrile seizures peak in toddlers 6 months–5 years; tepid sponging and antipyretics are supportive only.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spinal cord injury at the thoracic level develops autonomic dysreflexia triggered by a distended bladder. The priority intervention is:</w:t>
      </w:r>
    </w:p>
    <w:p>
      <w:r>
        <w:t>(a) Apply cold packs</w:t>
      </w:r>
    </w:p>
    <w:p>
      <w:r>
        <w:t>(b) Lower the head</w:t>
      </w:r>
    </w:p>
    <w:p>
      <w:r>
        <w:t>(c) Sit the patient up, loosen constrictive clothing, and relieve the bladder distension</w:t>
      </w:r>
    </w:p>
    <w:p>
      <w:r>
        <w:t>(d) Give oral fluids</w:t>
      </w:r>
    </w:p>
    <w:p>
      <w:r>
        <w:t>Answer: c</w:t>
      </w:r>
    </w:p>
    <w:p>
      <w:r>
        <w:t>Solution: ✅ Correct Answer: (c) Sit the patient up, loosen constrictive clothing, and relieve the bladder distension</w:t>
      </w:r>
    </w:p>
    <w:p>
      <w:r>
        <w:t xml:space="preserve">🧠 Clinical Rationale: Autonomic dysreflexia is a life-threatening hypertensive emergency in injuries above T6. The priority actions: SIT the patient upright immediately (orthostatic BP reduction), loosen tight clothing, then find and remove the trigger — here, relieve the distended bladder (catheterize/check the catheter). Monitor BP and notify the physician.</w:t>
      </w:r>
    </w:p>
    <w:p>
      <w:r>
        <w:t xml:space="preserve">🔍 Key Clues: "Spinal cord injury" + "distended bladder" + "autonomic dysreflexia" → sit up + relieve the trigger = the emergency bundle.</w:t>
      </w:r>
    </w:p>
    <w:p>
      <w:r>
        <w:t xml:space="preserve">❌ Why Not Other Options?</w:t>
      </w:r>
    </w:p>
    <w:p>
      <w:r>
        <w:t xml:space="preserve">(b) — Lowering the head INCREASES intracranial and arterial pressure — the exact opposite of the correct response.</w:t>
      </w:r>
    </w:p>
    <w:p>
      <w:r>
        <w:t>(d) — Oral fluids do not address the hypertensive crisis or the bladder trigger.</w:t>
      </w:r>
    </w:p>
    <w:p>
      <w:r>
        <w:t>(a) — Cold packs are irrelevant; the priority is position and trigger removal.</w:t>
      </w:r>
    </w:p>
    <w:p>
      <w:r>
        <w:t xml:space="preserve">⚠️ Exam Trap: Autonomic dysreflexia = HTN + pounding headache + sweating above the lesion. Sitting the patient UP is the first nursing move — the opposite of what you'd do for hypotension.</w:t>
      </w:r>
    </w:p>
    <w:p>
      <w:r>
        <w:t xml:space="preserve">💎 PNC Pearl: "Sit up, loosen, look for the trigger" — bladder distension is the #1 cause; fecal impaction is #2.</w:t>
      </w:r>
    </w:p>
    <w:p>
      <w:r>
        <w:t xml:space="preserve">🎯 Clinical Decision Rule: Raise HOB → loosen clothing → drain bladder → check BP → notify physician.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The normal aPTT (activated partial thromboplastin time) is approximately:</w:t>
      </w:r>
    </w:p>
    <w:p>
      <w:r>
        <w:t>(a) 5–10 seconds</w:t>
      </w:r>
    </w:p>
    <w:p>
      <w:r>
        <w:t>(b) 90–120 seconds</w:t>
      </w:r>
    </w:p>
    <w:p>
      <w:r>
        <w:t>(c) 30–40 seconds</w:t>
      </w:r>
    </w:p>
    <w:p>
      <w:r>
        <w:t>(d) 200–300 seconds</w:t>
      </w:r>
    </w:p>
    <w:p>
      <w:r>
        <w:t>Answer: c</w:t>
      </w:r>
    </w:p>
    <w:p>
      <w:r>
        <w:t>Solution: ✅ Correct Answer: (c) 30–40 seconds</w:t>
      </w:r>
    </w:p>
    <w:p>
      <w:r>
        <w:t xml:space="preserve">🧠 Clinical Rationale: aPTT measures the INTRINSIC coagulation pathway and is used to monitor HEPARIN therapy. The normal range is 30–40 seconds; the therapeutic heparin target is 1.5–2.5 times the control (typically 60–80 seconds).</w:t>
      </w:r>
    </w:p>
    <w:p>
      <w:r>
        <w:t xml:space="preserve">🔍 Key Clues: "aPTT" + "normal" → the intrinsic pathway/heparin test → 30–40 seconds.</w:t>
      </w:r>
    </w:p>
    <w:p>
      <w:r>
        <w:t xml:space="preserve">❌ Why Not Other Options?</w:t>
      </w:r>
    </w:p>
    <w:p>
      <w:r>
        <w:t>(a) — 5–10 seconds is far too short for any clotting time.</w:t>
      </w:r>
    </w:p>
    <w:p>
      <w:r>
        <w:t>(b) — 90–120 seconds is well above normal — it approaches the therapeutic heparin range.</w:t>
      </w:r>
    </w:p>
    <w:p>
      <w:r>
        <w:t xml:space="preserve">(d) — 200–300 seconds indicates gross anticoagulation/hemorrhage risk.</w:t>
      </w:r>
    </w:p>
    <w:p>
      <w:r>
        <w:t xml:space="preserve">⚠️ Exam Trap: PT/INR (warfarin) vs aPTT (heparin) — the two tests and their ranges are consistently interchanged in exams.</w:t>
      </w:r>
    </w:p>
    <w:p>
      <w:r>
        <w:t xml:space="preserve">💎 PNC Pearl: "aPTT = Activated → Heparin; PT = Prothrombin → Warfarin (Vitamin K pathway)."</w:t>
      </w:r>
    </w:p>
    <w:p>
      <w:r>
        <w:t xml:space="preserve">📌 Concept Extension: Heparin antidote = protamine sulfate; monitor platelets for HIT (heparin-induced thrombocytopenia).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caring for a patient with a percutaneous endoscopic gastrostomy (PEG) tube. The nurse should:</w:t>
      </w:r>
    </w:p>
    <w:p>
      <w:r>
        <w:t>(a) Feed with the patient flat</w:t>
      </w:r>
    </w:p>
    <w:p>
      <w:r>
        <w:t>(b) Give large boluses rapidly</w:t>
      </w:r>
    </w:p>
    <w:p>
      <w:r>
        <w:t>(c) Check placement only at insertion</w:t>
      </w:r>
    </w:p>
    <w:p>
      <w:r>
        <w:t>(d) Verify placement and elevate the head of the bed during and after feeding</w:t>
      </w:r>
    </w:p>
    <w:p>
      <w:r>
        <w:t>Answer: d</w:t>
      </w:r>
    </w:p>
    <w:p>
      <w:r>
        <w:t>Solution: ✅ Correct Answer: (d) Verify placement and elevate the head of the bed during and after feeding</w:t>
      </w:r>
    </w:p>
    <w:p>
      <w:r>
        <w:t xml:space="preserve">🧠 Clinical Rationale: Tube feeding carries a high aspiration risk. The nurse confirms tube placement (length mark, residual, pH) before each feed and elevates the head of bed 30–45° during feeding and for 30–60 minutes afterward. The tube site is cleaned daily and observed for infection.</w:t>
      </w:r>
    </w:p>
    <w:p>
      <w:r>
        <w:t xml:space="preserve">🔍 Key Clues: "PEG tube" + feeding → aspiration prevention = placement verification + head elevation.</w:t>
      </w:r>
    </w:p>
    <w:p>
      <w:r>
        <w:t xml:space="preserve">❌ Why Not Other Options?</w:t>
      </w:r>
    </w:p>
    <w:p>
      <w:r>
        <w:t>(a) — Feeding flat allows gastric contents to reflux into the airway — the leading cause of aspiration pneumonia.</w:t>
      </w:r>
    </w:p>
    <w:p>
      <w:r>
        <w:t xml:space="preserve">(c) — Placement must be re-verified before EVERY feed, not only at insertion.</w:t>
      </w:r>
    </w:p>
    <w:p>
      <w:r>
        <w:t>(b) — Rapid large boluses distend the stomach, increase reflux/aspiration, and cause dumping symptoms.</w:t>
      </w:r>
    </w:p>
    <w:p>
      <w:r>
        <w:t xml:space="preserve">⚠️ Exam Trap: HOB elevation (30–45°) during and after feeding is a recurring priority item. Residuals &gt;200–250 mL suggest delayed emptying — hold and recheck.</w:t>
      </w:r>
    </w:p>
    <w:p>
      <w:r>
        <w:t xml:space="preserve">💎 PNC Pearl: "Elevate, verify, go slow" — check placement, raise the bed, and give feedings at the prescribed rate.</w:t>
      </w:r>
    </w:p>
    <w:p>
      <w:r>
        <w:t xml:space="preserve">📌 Concept Extension: PEG site care: clean with saline, keep dry; report redness, drainage, or leakage.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hyperthyroidism develops fever, tachycardia, and confusion. The nurse should suspect:</w:t>
      </w:r>
    </w:p>
    <w:p>
      <w:r>
        <w:t>(a) Myxedema coma</w:t>
      </w:r>
    </w:p>
    <w:p>
      <w:r>
        <w:t>(b) Thyroid storm</w:t>
      </w:r>
    </w:p>
    <w:p>
      <w:r>
        <w:t>(c) Normal recovery</w:t>
      </w:r>
    </w:p>
    <w:p>
      <w:r>
        <w:t>(d) Hypoglycemia</w:t>
      </w:r>
    </w:p>
    <w:p>
      <w:r>
        <w:t>Answer: b</w:t>
      </w:r>
    </w:p>
    <w:p>
      <w:r>
        <w:t>Solution: ✅ Correct Answer: (b) Thyroid storm</w:t>
      </w:r>
    </w:p>
    <w:p>
      <w:r>
        <w:t xml:space="preserve">🧠 Clinical Rationale: Thyroid storm (thyrotoxic crisis) is a life-threatening decompensation of hyperthyroidism: high fever, severe tachycardia, agitation/confusion, vomiting, and possible heart failure — often triggered by infection, surgery, or stopping antithyroid drugs. Treatment: antithyroid drugs, beta-blockers, cooling, and supportive care.</w:t>
      </w:r>
    </w:p>
    <w:p>
      <w:r>
        <w:t xml:space="preserve">🔍 Key Clues: "Hyperthyroidism" + "fever + tachycardia + confusion" → the classic thyroid storm triad.</w:t>
      </w:r>
    </w:p>
    <w:p>
      <w:r>
        <w:t xml:space="preserve">❌ Why Not Other Options?</w:t>
      </w:r>
    </w:p>
    <w:p>
      <w:r>
        <w:t>(d) — Hypoglycemia causes sweating, tremors, confusion — but not high fever in this setting.</w:t>
      </w:r>
    </w:p>
    <w:p>
      <w:r>
        <w:t xml:space="preserve">(c) — Fever and confusion are never "normal recovery" in a hyperthyroid patient.</w:t>
      </w:r>
    </w:p>
    <w:p>
      <w:r>
        <w:t>(a) — Myxedema coma is the life-threatening extreme of HYPOTHYROIDISM (hypothermia, bradycardia) — the opposite state.</w:t>
      </w:r>
    </w:p>
    <w:p>
      <w:r>
        <w:t xml:space="preserve">⚠️ Exam Trap: Storm = hot/fast/confused (hyper); Myxedema coma = cold/slow/obtunded (hypo). The temperature and heart rate direction decide the answer.</w:t>
      </w:r>
    </w:p>
    <w:p>
      <w:r>
        <w:t xml:space="preserve">💎 PNC Pearl: Thyroid storm: fever + tachycardia + delirium in a hyperthyroid patient = emergency; propylthiouracil + propranolol + cooling.</w:t>
      </w:r>
    </w:p>
    <w:p>
      <w:r>
        <w:t xml:space="preserve">📌 Concept Extension: Thyroid storm mortality is high without treatment; check for triggering factors (infection, DKA, surgery).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at 40 weeks of gestation is having contractions every 3 minutes. Vaginal examination shows 6 cm dilatation. The patient is in the:</w:t>
      </w:r>
    </w:p>
    <w:p>
      <w:r>
        <w:t>(a) Active phase of the first stage of labor</w:t>
      </w:r>
    </w:p>
    <w:p>
      <w:r>
        <w:t>(b) Latent phase</w:t>
      </w:r>
    </w:p>
    <w:p>
      <w:r>
        <w:t>(c) Third stage</w:t>
      </w:r>
    </w:p>
    <w:p>
      <w:r>
        <w:t>(d) Second stage</w:t>
      </w:r>
    </w:p>
    <w:p>
      <w:r>
        <w:t>Answer: a</w:t>
      </w:r>
    </w:p>
    <w:p>
      <w:r>
        <w:t xml:space="preserve">Solution: ✅ Correct Answer: (a) Active phase of the first stage of labor</w:t>
      </w:r>
    </w:p>
    <w:p>
      <w:r>
        <w:t xml:space="preserve">🧠 Clinical Rationale: The first stage of labor spans 0–10 cm dilatation and has two phases: latent (0–3 cm, slow, irregular contractions) and ACTIVE (4–10 cm, strong contractions every 2–3 minutes with rapid cervical change). At 6 cm with q3-min contractions, the patient is clearly in the active phase.</w:t>
      </w:r>
    </w:p>
    <w:p>
      <w:r>
        <w:t xml:space="preserve">🔍 Key Clues: "6 cm dilatation" → the 4–10 cm zone = active phase of the FIRST stage.</w:t>
      </w:r>
    </w:p>
    <w:p>
      <w:r>
        <w:t xml:space="preserve">❌ Why Not Other Options?</w:t>
      </w:r>
    </w:p>
    <w:p>
      <w:r>
        <w:t xml:space="preserve">(b) — Latent phase is 0–3 cm with mild, irregular contractions.</w:t>
      </w:r>
    </w:p>
    <w:p>
      <w:r>
        <w:t>(d) — The second stage begins at FULL dilatation (10 cm) with the urge to push — not at 6 cm.</w:t>
      </w:r>
    </w:p>
    <w:p>
      <w:r>
        <w:t>(c) — The third stage is delivery of the placenta, after the baby is born.</w:t>
      </w:r>
    </w:p>
    <w:p>
      <w:r>
        <w:t xml:space="preserve">⚠️ Exam Trap: Phase thresholds are the trap: latent 0–3 cm, active 4–10 cm, second stage = 10 cm + pushing. 6 cm is unambiguous — active phase.</w:t>
      </w:r>
    </w:p>
    <w:p>
      <w:r>
        <w:t xml:space="preserve">💎 PNC Pearl: Active phase = 4–10 cm; assess FHR every 15 min (low risk) in active first stage.</w:t>
      </w:r>
    </w:p>
    <w:p>
      <w:r>
        <w:t xml:space="preserve">📌 Concept Extension: Failure to progress (cervix &lt;1 cm/hr in active phase) may prompt oxytocin augmentation — with careful FHR monitoring.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2-month-old infant is brought with fever, poor feeding, and lethargy. The nurse should:</w:t>
      </w:r>
    </w:p>
    <w:p>
      <w:r>
        <w:t>(a) Give paracetamol and send home</w:t>
      </w:r>
    </w:p>
    <w:p>
      <w:r>
        <w:t>(b) Wait and observe</w:t>
      </w:r>
    </w:p>
    <w:p>
      <w:r>
        <w:t>(c) Give oral antibiotics without workup</w:t>
      </w:r>
    </w:p>
    <w:p>
      <w:r>
        <w:t>(d) Evaluate for serious bacterial infection (sepsis workup)</w:t>
      </w:r>
    </w:p>
    <w:p>
      <w:r>
        <w:t>Answer: d</w:t>
      </w:r>
    </w:p>
    <w:p>
      <w:r>
        <w:t>Solution: ✅ Correct Answer: (d) Evaluate for serious bacterial infection (sepsis workup)</w:t>
      </w:r>
    </w:p>
    <w:p>
      <w:r>
        <w:t xml:space="preserve">🧠 Clinical Rationale: Fever + poor feeding + lethargy in an infant under 3 months is a red flag for serious bacterial infection (sepsis, meningitis, UTI, pneumonia). The standard of care is a full septic workup (CBC, blood/urine cultures, lumbar puncture), IV antibiotics, and hospital admission — young infants decompensate rapidly.</w:t>
      </w:r>
    </w:p>
    <w:p>
      <w:r>
        <w:t xml:space="preserve">🔍 Key Clues: "&lt;3 months" + "fever + poor feeding + lethargy" → the age group where febrile illness is presumed serious until proven otherwise.</w:t>
      </w:r>
    </w:p>
    <w:p>
      <w:r>
        <w:t xml:space="preserve">❌ Why Not Other Options?</w:t>
      </w:r>
    </w:p>
    <w:p>
      <w:r>
        <w:t>(a) — Paracetamol and discharge delay treatment of a potentially fatal bacterial infection.</w:t>
      </w:r>
    </w:p>
    <w:p>
      <w:r>
        <w:t>(b) — Observation at home risks sudden deterioration in a small infant.</w:t>
      </w:r>
    </w:p>
    <w:p>
      <w:r>
        <w:t>(c) — Oral antibiotics without a workup and without identifying the organism is unsafe and inappropriate.</w:t>
      </w:r>
    </w:p>
    <w:p>
      <w:r>
        <w:t xml:space="preserve">⚠️ Exam Trap: In infants &lt;3 months, fever is treated as sepsis until ruled out. The "send home with antipyretics" option is the classic wrong answer.</w:t>
      </w:r>
    </w:p>
    <w:p>
      <w:r>
        <w:t xml:space="preserve">💎 PNC Pearl: Neonates/infants &lt;3 mo: fever + lethargy/poor feeding → sepsis evaluation + IV antibiotics + admission.</w:t>
      </w:r>
    </w:p>
    <w:p>
      <w:r>
        <w:t xml:space="preserve">📌 Concept Extension: In children 3–36 months, toxic appearance (lethargy, poor perfusion) similarly mandates a full workup.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post-traumatic stress disorder is avoiding reminders of the trauma. The nurse should:</w:t>
      </w:r>
    </w:p>
    <w:p>
      <w:r>
        <w:t>(a) Support gradual, safe engagement with triggers as therapy progresses</w:t>
      </w:r>
    </w:p>
    <w:p>
      <w:r>
        <w:t>(b) Force exposure to all triggers</w:t>
      </w:r>
    </w:p>
    <w:p>
      <w:r>
        <w:t>(c) Encourage complete avoidance</w:t>
      </w:r>
    </w:p>
    <w:p>
      <w:r>
        <w:t>(d) Dismiss the symptoms</w:t>
      </w:r>
    </w:p>
    <w:p>
      <w:r>
        <w:t>Answer: a</w:t>
      </w:r>
    </w:p>
    <w:p>
      <w:r>
        <w:t xml:space="preserve">Solution: ✅ Correct Answer: (a) Support gradual, safe engagement with triggers as therapy progresses</w:t>
      </w:r>
    </w:p>
    <w:p>
      <w:r>
        <w:t xml:space="preserve">🧠 Clinical Rationale: Avoidance is a core maintaining factor in PTSD — the more the patient avoids, the stronger the fear becomes. Trauma-focused therapy (CBT, EMDR, prolonged exposure) gradually and SAFELY re-engages the patient with triggers, in a structured, titrated way the patient can tolerate.</w:t>
      </w:r>
    </w:p>
    <w:p>
      <w:r>
        <w:t xml:space="preserve">🔍 Key Clues: "PTSD" + "avoiding reminders" → the treatment direction is graded re-engagement, never force or avoidance.</w:t>
      </w:r>
    </w:p>
    <w:p>
      <w:r>
        <w:t xml:space="preserve">❌ Why Not Other Options?</w:t>
      </w:r>
    </w:p>
    <w:p>
      <w:r>
        <w:t xml:space="preserve">(b) — Forcing exposure overwhelms the patient, increases distress, and can worsen the disorder.</w:t>
      </w:r>
    </w:p>
    <w:p>
      <w:r>
        <w:t xml:space="preserve">(c) — Encouraging complete avoidance perpetuates the fear cycle and disability.</w:t>
      </w:r>
    </w:p>
    <w:p>
      <w:r>
        <w:t xml:space="preserve">(d) — Dismissing symptoms invalidates the patient and blocks treatment.</w:t>
      </w:r>
    </w:p>
    <w:p>
      <w:r>
        <w:t xml:space="preserve">⚠️ Exam Trap: The nursing answer for avoidance is always "gradual, safe, patient-paced exposure within therapy" — never forced confrontation.</w:t>
      </w:r>
    </w:p>
    <w:p>
      <w:r>
        <w:t xml:space="preserve">💎 PNC Pearl: PTSD treatment: trauma-focused CBT/EMDR; safety, trust, and pacing come before any exposure work.</w:t>
      </w:r>
    </w:p>
    <w:p>
      <w:r>
        <w:t xml:space="preserve">📌 Concept Extension: Watch for hyperarousal, flashbacks, and dissociation; grounding techniques help during acute distress.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"Skill India Mission" primarily aims to:</w:t>
      </w:r>
    </w:p>
    <w:p>
      <w:r>
        <w:t>(a) Provide free food</w:t>
      </w:r>
    </w:p>
    <w:p>
      <w:r>
        <w:t>(b) Build schools only</w:t>
      </w:r>
    </w:p>
    <w:p>
      <w:r>
        <w:t>(c) Train and skill the Indian workforce for employment</w:t>
      </w:r>
    </w:p>
    <w:p>
      <w:r>
        <w:t>(d) Construct roads</w:t>
      </w:r>
    </w:p>
    <w:p>
      <w:r>
        <w:t>Answer: c</w:t>
      </w:r>
    </w:p>
    <w:p>
      <w:r>
        <w:t>Solution: ✅ Correct Answer: (c) Train and skill the Indian workforce for employment</w:t>
      </w:r>
    </w:p>
    <w:p>
      <w:r>
        <w:t xml:space="preserve">🧠 Clinical Rationale: Skill India (launched July 2015) aims to skill and reskill India's youth for employability and entrepreneurship — through programs like PMKVY (Pradhan Mantri Kaushal Vikas Yojana), sector skill councils, and apprenticeship schemes.</w:t>
      </w:r>
    </w:p>
    <w:p>
      <w:r>
        <w:t xml:space="preserve">🔍 Key Clues: "Skill India" — the name says it: developing skills for jobs.</w:t>
      </w:r>
    </w:p>
    <w:p>
      <w:r>
        <w:t xml:space="preserve">❌ Why Not Other Options?</w:t>
      </w:r>
    </w:p>
    <w:p>
      <w:r>
        <w:t xml:space="preserve">(b) — School infrastructure is under Samagra Shiksha/RTE programs.</w:t>
      </w:r>
    </w:p>
    <w:p>
      <w:r>
        <w:t>(a) — Free food distribution is the NFSA/PDS mandate.</w:t>
      </w:r>
    </w:p>
    <w:p>
      <w:r>
        <w:t xml:space="preserve">(d) — Road construction belongs to NHAI/PMGSY.</w:t>
      </w:r>
    </w:p>
    <w:p>
      <w:r>
        <w:t xml:space="preserve">⚠️ Exam Trap: Mission-to-domain matching: Skill → workforce; Digital India → e-governance; Make in India → manufacturing.</w:t>
      </w:r>
    </w:p>
    <w:p>
      <w:r>
        <w:t xml:space="preserve">💎 PNC Pearl: Skill India = PMKVY (training + certification + placement support); Skill Development &amp; Entrepreneurship Ministry.</w:t>
      </w:r>
    </w:p>
    <w:p>
      <w:r>
        <w:t xml:space="preserve">📌 Concept Extension: PMKVY 3.0 and the National Education Policy 2020 emphasize vocational education in school curricula.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to give 1,000 mL of IV fluid at 100 mL/hour. The drop factor is 20 drops/mL. The flow rate in drops per minute is:</w:t>
      </w:r>
    </w:p>
    <w:p>
      <w:r>
        <w:t>(a) 50 gtt/min</w:t>
      </w:r>
    </w:p>
    <w:p>
      <w:r>
        <w:t>(b) 66 gtt/min</w:t>
      </w:r>
    </w:p>
    <w:p>
      <w:r>
        <w:t>(c) 25 gtt/min</w:t>
      </w:r>
    </w:p>
    <w:p>
      <w:r>
        <w:t>(d) 33 gtt/min</w:t>
      </w:r>
    </w:p>
    <w:p>
      <w:r>
        <w:t>Answer: d</w:t>
      </w:r>
    </w:p>
    <w:p>
      <w:r>
        <w:t>Solution: ✅ Correct Answer: (d) 33 gtt/min</w:t>
      </w:r>
    </w:p>
    <w:p>
      <w:r>
        <w:t xml:space="preserve">🧠 Clinical Rationale: Flow rate = (Volume per hour × Drop factor) ÷ 60 = (100 mL/hr × 20 gtt/mL) ÷ 60 = 2,000 ÷ 60 = 33.3 ≈ 33 gtt/min.</w:t>
      </w:r>
    </w:p>
    <w:p>
      <w:r>
        <w:t xml:space="preserve">🔍 Key Clues: "100 mL/hour" + "20 drops/mL" → multiply by the drop factor and divide by 60 minutes.</w:t>
      </w:r>
    </w:p>
    <w:p>
      <w:r>
        <w:t xml:space="preserve">❌ Why Not Other Options?</w:t>
      </w:r>
    </w:p>
    <w:p>
      <w:r>
        <w:t>(c) — 25 gtt/min results from dividing 100 by 4 or an incorrect fraction.</w:t>
      </w:r>
    </w:p>
    <w:p>
      <w:r>
        <w:t>(a) — 50 gtt/min would deliver ~150 mL/hr — an over-infusion (100 × 20 ÷ 40-style error).</w:t>
      </w:r>
    </w:p>
    <w:p>
      <w:r>
        <w:t>(b) — 66 gtt/min nearly doubles the intended rate.</w:t>
      </w:r>
    </w:p>
    <w:p>
      <w:r>
        <w:t xml:space="preserve">⚠️ Exam Trap: Formula: (mL/hr × drop factor) ÷ 60. Watch the drop factor (10, 15, 20, or 60 microdrops) — it changes the answer completely.</w:t>
      </w:r>
    </w:p>
    <w:p>
      <w:r>
        <w:t xml:space="preserve">💎 PNC Pearl: gtt/min = (rate mL/hr × drop factor) ÷ 60. 60 gtt/mL microdrip = 1 gtt/sec at 60 mL/hr (easy check).</w:t>
      </w:r>
    </w:p>
    <w:p>
      <w:r>
        <w:t xml:space="preserve">📌 Concept Extension: Infusion pumps use mL/hr directly — no drop factor needed; always verify the pump rate independently.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assessing a patient's pulse. Which pulse site is used to assess circulation to the foot?</w:t>
      </w:r>
    </w:p>
    <w:p>
      <w:r>
        <w:t>(a) Brachial</w:t>
      </w:r>
    </w:p>
    <w:p>
      <w:r>
        <w:t>(b) Dorsalis pedis</w:t>
      </w:r>
    </w:p>
    <w:p>
      <w:r>
        <w:t>(c) Radial</w:t>
      </w:r>
    </w:p>
    <w:p>
      <w:r>
        <w:t>(d) Carotid</w:t>
      </w:r>
    </w:p>
    <w:p>
      <w:r>
        <w:t>Answer: b</w:t>
      </w:r>
    </w:p>
    <w:p>
      <w:r>
        <w:t>Solution: ✅ Correct Answer: (b) Dorsalis pedis</w:t>
      </w:r>
    </w:p>
    <w:p>
      <w:r>
        <w:t xml:space="preserve">🧠 Clinical Rationale: The dorsalis pedis pulse (dorsum of the foot, lateral to the extensor hallucis longus tendon) assesses arterial circulation to the lower extremity — critical after leg casts, vascular surgery, and in peripheral arterial disease.</w:t>
      </w:r>
    </w:p>
    <w:p>
      <w:r>
        <w:t xml:space="preserve">🔍 Key Clues: "Circulation to the FOOT" → the pulse felt on the foot itself: dorsalis pedis.</w:t>
      </w:r>
    </w:p>
    <w:p>
      <w:r>
        <w:t xml:space="preserve">❌ Why Not Other Options?</w:t>
      </w:r>
    </w:p>
    <w:p>
      <w:r>
        <w:t>(d) — Carotid (neck) assesses cerebral perfusion — used in cardiac arrest and carotid disease.</w:t>
      </w:r>
    </w:p>
    <w:p>
      <w:r>
        <w:t>(a) — Brachial (antecubital) is used for infant BP and upper-extremity assessment.</w:t>
      </w:r>
    </w:p>
    <w:p>
      <w:r>
        <w:t>(c) — Radial (wrist) assesses the hand/forearm, not the foot.</w:t>
      </w:r>
    </w:p>
    <w:p>
      <w:r>
        <w:t xml:space="preserve">⚠️ Exam Trap: Match the pulse to the territory: dorsalis pedis + posterior tibial = foot; popliteal = knee; femoral = thigh.</w:t>
      </w:r>
    </w:p>
    <w:p>
      <w:r>
        <w:t xml:space="preserve">💎 PNC Pearl: Foot pulses: dorsalis pedis and posterior tibial — absence after trauma/surgery = vascular compromise until proven otherwise.</w:t>
      </w:r>
    </w:p>
    <w:p>
      <w:r>
        <w:t xml:space="preserve">📌 Concept Extension: Compare bilateral pulses, capillary refill, and skin temperature together — a full neurovascular picture.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severe burn injury is being discharged. The nurse should teach the patient to:</w:t>
      </w:r>
    </w:p>
    <w:p>
      <w:r>
        <w:t>(a) Report signs of infection, perform wound care, and attend follow-up</w:t>
      </w:r>
    </w:p>
    <w:p>
      <w:r>
        <w:t>(b) Skip follow-up appointments</w:t>
      </w:r>
    </w:p>
    <w:p>
      <w:r>
        <w:t>(c) Stop wound care once home</w:t>
      </w:r>
    </w:p>
    <w:p>
      <w:r>
        <w:t>(d) Ignore the wound</w:t>
      </w:r>
    </w:p>
    <w:p>
      <w:r>
        <w:t>Answer: a</w:t>
      </w:r>
    </w:p>
    <w:p>
      <w:r>
        <w:t xml:space="preserve">Solution: ✅ Correct Answer: (a) Report signs of infection, perform wound care, and attend follow-up</w:t>
      </w:r>
    </w:p>
    <w:p>
      <w:r>
        <w:t xml:space="preserve">🧠 Clinical Rationale: Post-burn discharge teaching centers on infection prevention: daily wound care, recognizing infection signs (increased redness, purulent discharge, fever, worsening pain), scar management (pressure garments, moisturizer, sun protection), nutrition, and strict follow-up.</w:t>
      </w:r>
    </w:p>
    <w:p>
      <w:r>
        <w:t xml:space="preserve">🔍 Key Clues: "Severe burn... being discharged" → teaching = wound care + infection vigilance + follow-up.</w:t>
      </w:r>
    </w:p>
    <w:p>
      <w:r>
        <w:t xml:space="preserve">❌ Why Not Other Options?</w:t>
      </w:r>
    </w:p>
    <w:p>
      <w:r>
        <w:t>(d) — Ignoring the wound invites infection, delayed healing, and sepsis.</w:t>
      </w:r>
    </w:p>
    <w:p>
      <w:r>
        <w:t xml:space="preserve">(c) — Stopping wound care at home reverses healing progress.</w:t>
      </w:r>
    </w:p>
    <w:p>
      <w:r>
        <w:t>(b) — Skipping follow-up misses scar contractures, infections, and rehabilitation needs.</w:t>
      </w:r>
    </w:p>
    <w:p>
      <w:r>
        <w:t xml:space="preserve">⚠️ Exam Trap: Burn survivors need long-term scar and psychosocial care — "discharge = done" is never the answer.</w:t>
      </w:r>
    </w:p>
    <w:p>
      <w:r>
        <w:t xml:space="preserve">💎 PNC Pearl: Infection signs to report: fever, purulence, foul odor, spreading redness, increased pain.</w:t>
      </w:r>
    </w:p>
    <w:p>
      <w:r>
        <w:t xml:space="preserve">📌 Concept Extension: Pressure garments (20–24 hr/day) and silicone sheets reduce hypertrophic scarring; sun protection prevents pigmentation.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