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A client with major depression says, 'I have nothing to live for anymore.' What is the nurse's priority action?</w:t>
      </w:r>
    </w:p>
    <w:p>
      <w:pPr>
        <w:spacing w:after="0" w:before="0"/>
      </w:pPr>
      <w:r>
        <w:rPr>
          <w:b w:val="0"/>
          <w:sz w:val="22"/>
        </w:rPr>
        <w:t>(a) Encourage the client to attend group activities</w:t>
      </w:r>
    </w:p>
    <w:p>
      <w:pPr>
        <w:spacing w:after="0" w:before="0"/>
      </w:pPr>
      <w:r>
        <w:rPr>
          <w:b w:val="0"/>
          <w:sz w:val="22"/>
        </w:rPr>
        <w:t>(b) Assess directly for suicidal thoughts, plan and means</w:t>
      </w:r>
    </w:p>
    <w:p>
      <w:pPr>
        <w:spacing w:after="0" w:before="0"/>
      </w:pPr>
      <w:r>
        <w:rPr>
          <w:b w:val="0"/>
          <w:sz w:val="22"/>
        </w:rPr>
        <w:t>(c) Offer the client a meal tray</w:t>
      </w:r>
    </w:p>
    <w:p>
      <w:pPr>
        <w:spacing w:after="0" w:before="0"/>
      </w:pPr>
      <w:r>
        <w:rPr>
          <w:b w:val="0"/>
          <w:sz w:val="22"/>
        </w:rPr>
        <w:t>(d) Provide a structured daily schedule</w:t>
      </w:r>
    </w:p>
    <w:p>
      <w:pPr>
        <w:spacing w:after="0" w:before="40"/>
      </w:pPr>
      <w:r>
        <w:rPr>
          <w:b/>
          <w:sz w:val="22"/>
        </w:rPr>
        <w:t>Answer: b</w:t>
      </w:r>
    </w:p>
    <w:p>
      <w:pPr>
        <w:spacing w:after="0" w:before="0"/>
      </w:pPr>
      <w:r>
        <w:rPr>
          <w:b w:val="0"/>
          <w:sz w:val="21"/>
        </w:rPr>
        <w:t>Solution: Any statement of hopelessness warrants an immediate, direct suicide risk assessment (ideation, plan, intent, means); safety is the priority.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needle is most appropriate for a subcutaneous injection?</w:t>
      </w:r>
    </w:p>
    <w:p>
      <w:pPr>
        <w:spacing w:after="0" w:before="0"/>
      </w:pPr>
      <w:r>
        <w:rPr>
          <w:b w:val="0"/>
          <w:sz w:val="22"/>
        </w:rPr>
        <w:t>(a) 14-16 gauge, 2 inch</w:t>
      </w:r>
    </w:p>
    <w:p>
      <w:pPr>
        <w:spacing w:after="0" w:before="0"/>
      </w:pPr>
      <w:r>
        <w:rPr>
          <w:b w:val="0"/>
          <w:sz w:val="22"/>
        </w:rPr>
        <w:t>(b) 22 gauge, 1½ inch</w:t>
      </w:r>
    </w:p>
    <w:p>
      <w:pPr>
        <w:spacing w:after="0" w:before="0"/>
      </w:pPr>
      <w:r>
        <w:rPr>
          <w:b w:val="0"/>
          <w:sz w:val="22"/>
        </w:rPr>
        <w:t>(c) 25-27 gauge, 5/8 inch</w:t>
      </w:r>
    </w:p>
    <w:p>
      <w:pPr>
        <w:spacing w:after="0" w:before="0"/>
      </w:pPr>
      <w:r>
        <w:rPr>
          <w:b w:val="0"/>
          <w:sz w:val="22"/>
        </w:rPr>
        <w:t>(d) 18-20 gauge, 1½ inch</w:t>
      </w:r>
    </w:p>
    <w:p>
      <w:pPr>
        <w:spacing w:after="0" w:before="40"/>
      </w:pPr>
      <w:r>
        <w:rPr>
          <w:b/>
          <w:sz w:val="22"/>
        </w:rPr>
        <w:t>Answer: c</w:t>
      </w:r>
    </w:p>
    <w:p>
      <w:pPr>
        <w:spacing w:after="0" w:before="0"/>
      </w:pPr>
      <w:r>
        <w:rPr>
          <w:b w:val="0"/>
          <w:sz w:val="21"/>
        </w:rPr>
        <w:t>Solution: Subcutaneous injections use a short, fine needle (25-27 gauge, ⅝ inch) to deposit medication into the subcutaneous layer at a 45° angle.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On which date was the milestone of 100 crore vaccinations (Covaxin + Covishield) completed in India?</w:t>
      </w:r>
    </w:p>
    <w:p>
      <w:pPr>
        <w:spacing w:after="0" w:before="0"/>
      </w:pPr>
      <w:r>
        <w:rPr>
          <w:b w:val="0"/>
          <w:sz w:val="22"/>
        </w:rPr>
        <w:t>(a) 22.10.2021,</w:t>
      </w:r>
    </w:p>
    <w:p>
      <w:pPr>
        <w:spacing w:after="0" w:before="0"/>
      </w:pPr>
      <w:r>
        <w:rPr>
          <w:b w:val="0"/>
          <w:sz w:val="22"/>
        </w:rPr>
        <w:t>(b) 20.10.2021,</w:t>
      </w:r>
    </w:p>
    <w:p>
      <w:pPr>
        <w:spacing w:after="0" w:before="0"/>
      </w:pPr>
      <w:r>
        <w:rPr>
          <w:b w:val="0"/>
          <w:sz w:val="22"/>
        </w:rPr>
        <w:t>(c) 19.10.2021,</w:t>
      </w:r>
    </w:p>
    <w:p>
      <w:pPr>
        <w:spacing w:after="0" w:before="0"/>
      </w:pPr>
      <w:r>
        <w:rPr>
          <w:b w:val="0"/>
          <w:sz w:val="22"/>
        </w:rPr>
        <w:t>(d) 21.10.2021,</w:t>
      </w:r>
    </w:p>
    <w:p>
      <w:pPr>
        <w:spacing w:after="0" w:before="40"/>
      </w:pPr>
      <w:r>
        <w:rPr>
          <w:b/>
          <w:sz w:val="22"/>
        </w:rPr>
        <w:t>Answer: d</w:t>
      </w:r>
    </w:p>
    <w:p>
      <w:pPr>
        <w:spacing w:after="0" w:before="0"/>
      </w:pPr>
      <w:r>
        <w:rPr>
          <w:b w:val="0"/>
          <w:sz w:val="21"/>
        </w:rPr>
        <w:t>Solution: The milestone of 100 crore vaccinations (Covaxin + Covishield) in India was completed on 21.10.2021 (option a). This significant achievement marked the administration of 100 crore doses of COVID-19 vaccines in India's nationwide vaccination campaign. The combined use of Covaxin and Covishield, which are the two primary vaccines being administered in India, contributed to reaching this milestone in the ongoing efforts to protect the population against COVID-19.</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mechanism by which spraying kerosene on stagnant water kills Anopheles mosquitoes?</w:t>
      </w:r>
    </w:p>
    <w:p>
      <w:pPr>
        <w:spacing w:after="0" w:before="0"/>
      </w:pPr>
      <w:r>
        <w:rPr>
          <w:b w:val="0"/>
          <w:sz w:val="22"/>
        </w:rPr>
        <w:t>(a) Entry into and blocking of respiratory tract</w:t>
      </w:r>
    </w:p>
    <w:p>
      <w:pPr>
        <w:spacing w:after="0" w:before="0"/>
      </w:pPr>
      <w:r>
        <w:rPr>
          <w:b w:val="0"/>
          <w:sz w:val="22"/>
        </w:rPr>
        <w:t>(b) Burning of body wall</w:t>
      </w:r>
    </w:p>
    <w:p>
      <w:pPr>
        <w:spacing w:after="0" w:before="0"/>
      </w:pPr>
      <w:r>
        <w:rPr>
          <w:b w:val="0"/>
          <w:sz w:val="22"/>
        </w:rPr>
        <w:t>(c) Diffusion into body</w:t>
      </w:r>
    </w:p>
    <w:p>
      <w:pPr>
        <w:spacing w:after="0" w:before="0"/>
      </w:pPr>
      <w:r>
        <w:rPr>
          <w:b w:val="0"/>
          <w:sz w:val="22"/>
        </w:rPr>
        <w:t>(d) Prevention of spiracle to come in contact with air</w:t>
      </w:r>
    </w:p>
    <w:p>
      <w:pPr>
        <w:spacing w:after="0" w:before="40"/>
      </w:pPr>
      <w:r>
        <w:rPr>
          <w:b/>
          <w:sz w:val="22"/>
        </w:rPr>
        <w:t>Answer: a</w:t>
      </w:r>
    </w:p>
    <w:p>
      <w:pPr>
        <w:spacing w:after="0" w:before="0"/>
      </w:pPr>
      <w:r>
        <w:rPr>
          <w:b w:val="0"/>
          <w:sz w:val="21"/>
        </w:rPr>
        <w:t>Solution: Spraying kerosene on stagnant water kills Anopheles mosquitoes by the mechanism of entry into and blocking of the respiratory tract. Kerosene forms a film over the water surface, depriving the mosquito larvae and pupae of access to atmospheric oxygen. Mosquito larvae and pupae breathe through specialized structures called spiracles, which are connected to their respiratory system. When the kerosene film is formed on the water, it blocks the spiracles, preventing the larvae and pupae from obtaining oxygen and leading to their suffocation and death.</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immediate intervention for a patient with tension pneumothorax?</w:t>
      </w:r>
    </w:p>
    <w:p>
      <w:pPr>
        <w:spacing w:after="0" w:before="0"/>
      </w:pPr>
      <w:r>
        <w:rPr>
          <w:b w:val="0"/>
          <w:sz w:val="22"/>
        </w:rPr>
        <w:t>(a) Insert a chest tube in the 8th-9th intercostal space</w:t>
      </w:r>
    </w:p>
    <w:p>
      <w:pPr>
        <w:spacing w:after="0" w:before="0"/>
      </w:pPr>
      <w:r>
        <w:rPr>
          <w:b w:val="0"/>
          <w:sz w:val="22"/>
        </w:rPr>
        <w:t>(b) Insert a chest tube in the 6th-7th intercostal space</w:t>
      </w:r>
    </w:p>
    <w:p>
      <w:pPr>
        <w:spacing w:after="0" w:before="0"/>
      </w:pPr>
      <w:r>
        <w:rPr>
          <w:b w:val="0"/>
          <w:sz w:val="22"/>
        </w:rPr>
        <w:t>(c) No intervention is needed</w:t>
      </w:r>
    </w:p>
    <w:p>
      <w:pPr>
        <w:spacing w:after="0" w:before="0"/>
      </w:pPr>
      <w:r>
        <w:rPr>
          <w:b w:val="0"/>
          <w:sz w:val="22"/>
        </w:rPr>
        <w:t>(d) Needle decompression at the 2nd intercostal space, midclavicular line</w:t>
      </w:r>
    </w:p>
    <w:p>
      <w:pPr>
        <w:spacing w:after="0" w:before="40"/>
      </w:pPr>
      <w:r>
        <w:rPr>
          <w:b/>
          <w:sz w:val="22"/>
        </w:rPr>
        <w:t>Answer: d</w:t>
      </w:r>
    </w:p>
    <w:p>
      <w:pPr>
        <w:spacing w:after="0" w:before="0"/>
      </w:pPr>
      <w:r>
        <w:rPr>
          <w:b w:val="0"/>
          <w:sz w:val="21"/>
        </w:rPr>
        <w:t>Solution: Tension pneumothorax is a life-threatening emergency; immediate needle decompression is done at the 2nd intercostal space, midclavicular line, followed by chest tube insertion.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method gives the most reliable confirmation that a nasogastric tube is correctly placed before feeding?</w:t>
      </w:r>
    </w:p>
    <w:p>
      <w:pPr>
        <w:spacing w:after="0" w:before="0"/>
      </w:pPr>
      <w:r>
        <w:rPr>
          <w:b w:val="0"/>
          <w:sz w:val="22"/>
        </w:rPr>
        <w:t>(a) Radiographic (X-ray) confirmation</w:t>
      </w:r>
    </w:p>
    <w:p>
      <w:pPr>
        <w:spacing w:after="0" w:before="0"/>
      </w:pPr>
      <w:r>
        <w:rPr>
          <w:b w:val="0"/>
          <w:sz w:val="22"/>
        </w:rPr>
        <w:t>(b) Checking the pH of gastric aspirate</w:t>
      </w:r>
    </w:p>
    <w:p>
      <w:pPr>
        <w:spacing w:after="0" w:before="0"/>
      </w:pPr>
      <w:r>
        <w:rPr>
          <w:b w:val="0"/>
          <w:sz w:val="22"/>
        </w:rPr>
        <w:t>(c) Auscultating air over the epigastrium</w:t>
      </w:r>
    </w:p>
    <w:p>
      <w:pPr>
        <w:spacing w:after="0" w:before="0"/>
      </w:pPr>
      <w:r>
        <w:rPr>
          <w:b w:val="0"/>
          <w:sz w:val="22"/>
        </w:rPr>
        <w:t>(d) Observing the client swallow without coughing</w:t>
      </w:r>
    </w:p>
    <w:p>
      <w:pPr>
        <w:spacing w:after="0" w:before="40"/>
      </w:pPr>
      <w:r>
        <w:rPr>
          <w:b/>
          <w:sz w:val="22"/>
        </w:rPr>
        <w:t>Answer: a</w:t>
      </w:r>
    </w:p>
    <w:p>
      <w:pPr>
        <w:spacing w:after="0" w:before="0"/>
      </w:pPr>
      <w:r>
        <w:rPr>
          <w:b w:val="0"/>
          <w:sz w:val="21"/>
        </w:rPr>
        <w:t>Solution: X-ray confirmation is the gold standard for NG tube placement; auscultation and pH are adjuncts but are not definitive, especially in high-risk clients.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woman feels anxiety and fear while leaving home and while travelling alone in a car. This is best described as:</w:t>
      </w:r>
    </w:p>
    <w:p>
      <w:pPr>
        <w:spacing w:after="0" w:before="0"/>
      </w:pPr>
      <w:r>
        <w:rPr>
          <w:b w:val="0"/>
          <w:sz w:val="22"/>
        </w:rPr>
        <w:t>(a) Acrophobia</w:t>
      </w:r>
    </w:p>
    <w:p>
      <w:pPr>
        <w:spacing w:after="0" w:before="0"/>
      </w:pPr>
      <w:r>
        <w:rPr>
          <w:b w:val="0"/>
          <w:sz w:val="22"/>
        </w:rPr>
        <w:t>(b) Claustrophobia</w:t>
      </w:r>
    </w:p>
    <w:p>
      <w:pPr>
        <w:spacing w:after="0" w:before="0"/>
      </w:pPr>
      <w:r>
        <w:rPr>
          <w:b w:val="0"/>
          <w:sz w:val="22"/>
        </w:rPr>
        <w:t>(c) Agoraphobia</w:t>
      </w:r>
    </w:p>
    <w:p>
      <w:pPr>
        <w:spacing w:after="0" w:before="0"/>
      </w:pPr>
      <w:r>
        <w:rPr>
          <w:b w:val="0"/>
          <w:sz w:val="22"/>
        </w:rPr>
        <w:t>(d) Hydrophobia</w:t>
      </w:r>
    </w:p>
    <w:p>
      <w:pPr>
        <w:spacing w:after="0" w:before="40"/>
      </w:pPr>
      <w:r>
        <w:rPr>
          <w:b/>
          <w:sz w:val="22"/>
        </w:rPr>
        <w:t>Answer: c</w:t>
      </w:r>
    </w:p>
    <w:p>
      <w:pPr>
        <w:spacing w:after="0" w:before="0"/>
      </w:pPr>
      <w:r>
        <w:rPr>
          <w:b w:val="0"/>
          <w:sz w:val="21"/>
        </w:rPr>
        <w:t>Solution: Agoraphobia is the fear of leaving home, open or public spaces and being alone in situations from which escape is difficult.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food group serves as the richest dietary source of Folic Acid (Vitamin B9)?</w:t>
      </w:r>
    </w:p>
    <w:p>
      <w:pPr>
        <w:spacing w:after="0" w:before="0"/>
      </w:pPr>
      <w:r>
        <w:rPr>
          <w:b w:val="0"/>
          <w:sz w:val="22"/>
        </w:rPr>
        <w:t>(a) Red meat</w:t>
      </w:r>
    </w:p>
    <w:p>
      <w:pPr>
        <w:spacing w:after="0" w:before="0"/>
      </w:pPr>
      <w:r>
        <w:rPr>
          <w:b w:val="0"/>
          <w:sz w:val="22"/>
        </w:rPr>
        <w:t>(b) Dark green leafy vegetables</w:t>
      </w:r>
    </w:p>
    <w:p>
      <w:pPr>
        <w:spacing w:after="0" w:before="0"/>
      </w:pPr>
      <w:r>
        <w:rPr>
          <w:b w:val="0"/>
          <w:sz w:val="22"/>
        </w:rPr>
        <w:t>(c) Whole milk</w:t>
      </w:r>
    </w:p>
    <w:p>
      <w:pPr>
        <w:spacing w:after="0" w:before="0"/>
      </w:pPr>
      <w:r>
        <w:rPr>
          <w:b w:val="0"/>
          <w:sz w:val="22"/>
        </w:rPr>
        <w:t>(d) Banana</w:t>
      </w:r>
    </w:p>
    <w:p>
      <w:pPr>
        <w:spacing w:after="0" w:before="40"/>
      </w:pPr>
      <w:r>
        <w:rPr>
          <w:b/>
          <w:sz w:val="22"/>
        </w:rPr>
        <w:t>Answer: b</w:t>
      </w:r>
    </w:p>
    <w:p>
      <w:pPr>
        <w:spacing w:after="0" w:before="0"/>
      </w:pPr>
      <w:r>
        <w:rPr>
          <w:b w:val="0"/>
          <w:sz w:val="21"/>
        </w:rPr>
        <w:t>Solution: Dark green leafy vegetables (spinach, kale, broccoli), legumes, and liver are the richest natural sources of Folic Acid (Folate).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is the single most important measure to break the chain of infection?</w:t>
      </w:r>
    </w:p>
    <w:p>
      <w:pPr>
        <w:spacing w:after="0" w:before="0"/>
      </w:pPr>
      <w:r>
        <w:rPr>
          <w:b w:val="0"/>
          <w:sz w:val="22"/>
        </w:rPr>
        <w:t>(a) Gloves, mask, goggles</w:t>
      </w:r>
    </w:p>
    <w:p>
      <w:pPr>
        <w:spacing w:after="0" w:before="0"/>
      </w:pPr>
      <w:r>
        <w:rPr>
          <w:b w:val="0"/>
          <w:sz w:val="22"/>
        </w:rPr>
        <w:t>(b) Hand washing</w:t>
      </w:r>
    </w:p>
    <w:p>
      <w:pPr>
        <w:spacing w:after="0" w:before="0"/>
      </w:pPr>
      <w:r>
        <w:rPr>
          <w:b w:val="0"/>
          <w:sz w:val="22"/>
        </w:rPr>
        <w:t>(c) Maintain asepsis technique</w:t>
      </w:r>
    </w:p>
    <w:p>
      <w:pPr>
        <w:spacing w:after="0" w:before="0"/>
      </w:pPr>
      <w:r>
        <w:rPr>
          <w:b w:val="0"/>
          <w:sz w:val="22"/>
        </w:rPr>
        <w:t>(d) PPE kit</w:t>
      </w:r>
    </w:p>
    <w:p>
      <w:pPr>
        <w:spacing w:after="0" w:before="40"/>
      </w:pPr>
      <w:r>
        <w:rPr>
          <w:b/>
          <w:sz w:val="22"/>
        </w:rPr>
        <w:t>Answer: b</w:t>
      </w:r>
    </w:p>
    <w:p>
      <w:pPr>
        <w:spacing w:after="0" w:before="0"/>
      </w:pPr>
      <w:r>
        <w:rPr>
          <w:b w:val="0"/>
          <w:sz w:val="21"/>
        </w:rPr>
        <w:t>Solution: The principle component to prevent the infection chain link is hand washing (option A). Hand washing is a fundamental and effective measure in breaking the chain of infection transmission. Proper hand hygiene helps remove microorganisms from the hands, reducing the risk of transmitting infections. It is essential to wash hands thoroughly with soap and water for at least 20 seconds, especially before and after patient contact, before invasive procedures, and after handling potentially infectious materials. While personal protective equipment (PPE) such as gloves, masks, and goggles (option D) are important in specific situations, hand washing remains the primary and most crucial step in infection prevention and control practices.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most appropriate nursing intervention for a patient with epistaxis is:</w:t>
      </w:r>
    </w:p>
    <w:p>
      <w:pPr>
        <w:spacing w:after="0" w:before="0"/>
      </w:pPr>
      <w:r>
        <w:rPr>
          <w:b w:val="0"/>
          <w:sz w:val="22"/>
        </w:rPr>
        <w:t>(a) Apply cold pack to the feet</w:t>
      </w:r>
    </w:p>
    <w:p>
      <w:pPr>
        <w:spacing w:after="0" w:before="0"/>
      </w:pPr>
      <w:r>
        <w:rPr>
          <w:b w:val="0"/>
          <w:sz w:val="22"/>
        </w:rPr>
        <w:t>(b) Insert a cotton plug in the ear</w:t>
      </w:r>
    </w:p>
    <w:p>
      <w:pPr>
        <w:spacing w:after="0" w:before="0"/>
      </w:pPr>
      <w:r>
        <w:rPr>
          <w:b w:val="0"/>
          <w:sz w:val="22"/>
        </w:rPr>
        <w:t>(c) Pinch the nostrils and lean forward</w:t>
      </w:r>
    </w:p>
    <w:p>
      <w:pPr>
        <w:spacing w:after="0" w:before="0"/>
      </w:pPr>
      <w:r>
        <w:rPr>
          <w:b w:val="0"/>
          <w:sz w:val="22"/>
        </w:rPr>
        <w:t>(d) Tilt the head backwards</w:t>
      </w:r>
    </w:p>
    <w:p>
      <w:pPr>
        <w:spacing w:after="0" w:before="40"/>
      </w:pPr>
      <w:r>
        <w:rPr>
          <w:b/>
          <w:sz w:val="22"/>
        </w:rPr>
        <w:t>Answer: c</w:t>
      </w:r>
    </w:p>
    <w:p>
      <w:pPr>
        <w:spacing w:after="0" w:before="0"/>
      </w:pPr>
      <w:r>
        <w:rPr>
          <w:b w:val="0"/>
          <w:sz w:val="21"/>
        </w:rPr>
        <w:t>Solution: For epistaxis, pinch the soft part of the nostrils, lean forward and breathe through the mouth; do not tilt the head back.</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primigravida mother can expect to feel first fetal movements (Quickening) between which weeks?</w:t>
      </w:r>
    </w:p>
    <w:p>
      <w:pPr>
        <w:spacing w:after="0" w:before="0"/>
      </w:pPr>
      <w:r>
        <w:rPr>
          <w:b w:val="0"/>
          <w:sz w:val="22"/>
        </w:rPr>
        <w:t>(a) 18 to 20 weeks (or 16-20 weeks)</w:t>
      </w:r>
    </w:p>
    <w:p>
      <w:pPr>
        <w:spacing w:after="0" w:before="0"/>
      </w:pPr>
      <w:r>
        <w:rPr>
          <w:b w:val="0"/>
          <w:sz w:val="22"/>
        </w:rPr>
        <w:t>(b) 8 to 10 weeks</w:t>
      </w:r>
    </w:p>
    <w:p>
      <w:pPr>
        <w:spacing w:after="0" w:before="0"/>
      </w:pPr>
      <w:r>
        <w:rPr>
          <w:b w:val="0"/>
          <w:sz w:val="22"/>
        </w:rPr>
        <w:t>(c) 10 to 12 weeks</w:t>
      </w:r>
    </w:p>
    <w:p>
      <w:pPr>
        <w:spacing w:after="0" w:before="0"/>
      </w:pPr>
      <w:r>
        <w:rPr>
          <w:b w:val="0"/>
          <w:sz w:val="22"/>
        </w:rPr>
        <w:t>(d) 6 to 8 weeks</w:t>
      </w:r>
    </w:p>
    <w:p>
      <w:pPr>
        <w:spacing w:after="0" w:before="40"/>
      </w:pPr>
      <w:r>
        <w:rPr>
          <w:b/>
          <w:sz w:val="22"/>
        </w:rPr>
        <w:t>Answer: a</w:t>
      </w:r>
    </w:p>
    <w:p>
      <w:pPr>
        <w:spacing w:after="0" w:before="0"/>
      </w:pPr>
      <w:r>
        <w:rPr>
          <w:b w:val="0"/>
          <w:sz w:val="21"/>
        </w:rPr>
        <w:t>Solution: Quickening (first perception of fetal movement) is typically felt between 18–20 weeks in primigravidas and 16–18 weeks in multigravidas.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tests can be used to determine the potency of freeze-dried vaccines?</w:t>
      </w:r>
    </w:p>
    <w:p>
      <w:pPr>
        <w:spacing w:after="0" w:before="0"/>
      </w:pPr>
      <w:r>
        <w:rPr>
          <w:b w:val="0"/>
          <w:sz w:val="22"/>
        </w:rPr>
        <w:t>(a) Monteux test</w:t>
      </w:r>
    </w:p>
    <w:p>
      <w:pPr>
        <w:spacing w:after="0" w:before="0"/>
      </w:pPr>
      <w:r>
        <w:rPr>
          <w:b w:val="0"/>
          <w:sz w:val="22"/>
        </w:rPr>
        <w:t>(b) Hable test</w:t>
      </w:r>
    </w:p>
    <w:p>
      <w:pPr>
        <w:spacing w:after="0" w:before="0"/>
      </w:pPr>
      <w:r>
        <w:rPr>
          <w:b w:val="0"/>
          <w:sz w:val="22"/>
        </w:rPr>
        <w:t>(c) Modified hable test</w:t>
      </w:r>
    </w:p>
    <w:p>
      <w:pPr>
        <w:spacing w:after="0" w:before="0"/>
      </w:pPr>
      <w:r>
        <w:rPr>
          <w:b w:val="0"/>
          <w:sz w:val="22"/>
        </w:rPr>
        <w:t>(d) Shake test</w:t>
      </w:r>
    </w:p>
    <w:p>
      <w:pPr>
        <w:spacing w:after="0" w:before="40"/>
      </w:pPr>
      <w:r>
        <w:rPr>
          <w:b/>
          <w:sz w:val="22"/>
        </w:rPr>
        <w:t>Answer: d</w:t>
      </w:r>
    </w:p>
    <w:p>
      <w:pPr>
        <w:spacing w:after="0" w:before="0"/>
      </w:pPr>
      <w:r>
        <w:rPr>
          <w:b w:val="0"/>
          <w:sz w:val="21"/>
        </w:rPr>
        <w:t>Solution: The correct answer is option (a) - the Shake Test. The Shake Test is used to determine the potency of freeze-dried vaccines. Freeze-dried vaccines are reconstituted with a diluent before administration. The Shake Test involves shaking the reconstituted vaccine to ensure proper mixing and reconstitution. The presence of clumps, aggregates, or particles indicates a loss of potency or compromised vaccine quality. This test is essential to verify the efficacy and stability of freeze-dried vaccines before administration.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disease is caused by rat fleas? Vitamin B (Nutrition)</w:t>
      </w:r>
    </w:p>
    <w:p>
      <w:pPr>
        <w:spacing w:after="0" w:before="0"/>
      </w:pPr>
      <w:r>
        <w:rPr>
          <w:b w:val="0"/>
          <w:sz w:val="22"/>
        </w:rPr>
        <w:t>(a) Rocky mountain spotted fever</w:t>
      </w:r>
    </w:p>
    <w:p>
      <w:pPr>
        <w:spacing w:after="0" w:before="0"/>
      </w:pPr>
      <w:r>
        <w:rPr>
          <w:b w:val="0"/>
          <w:sz w:val="22"/>
        </w:rPr>
        <w:t>(b) Sleeping sickness V</w:t>
      </w:r>
    </w:p>
    <w:p>
      <w:pPr>
        <w:spacing w:after="0" w:before="0"/>
      </w:pPr>
      <w:r>
        <w:rPr>
          <w:b w:val="0"/>
          <w:sz w:val="22"/>
        </w:rPr>
        <w:t>(c) Epidemic typhus</w:t>
      </w:r>
    </w:p>
    <w:p>
      <w:pPr>
        <w:spacing w:after="0" w:before="0"/>
      </w:pPr>
      <w:r>
        <w:rPr>
          <w:b w:val="0"/>
          <w:sz w:val="22"/>
        </w:rPr>
        <w:t>(d) Endemic typhus</w:t>
      </w:r>
    </w:p>
    <w:p>
      <w:pPr>
        <w:spacing w:after="0" w:before="40"/>
      </w:pPr>
      <w:r>
        <w:rPr>
          <w:b/>
          <w:sz w:val="22"/>
        </w:rPr>
        <w:t>Answer: d</w:t>
      </w:r>
    </w:p>
    <w:p>
      <w:pPr>
        <w:spacing w:after="0" w:before="0"/>
      </w:pPr>
      <w:r>
        <w:rPr>
          <w:b w:val="0"/>
          <w:sz w:val="21"/>
        </w:rPr>
        <w:t>Solution: The disease caused by rat fleas is endemic typhus (option D). Endemic typhus, also known as murine typhus, is a bacterial infection caused by Rickettsia typhi. It is transmitted to humans through the bite of infected fleas, primarily the rat flea (Xenopsylla cheopis). Rat fleas typically infest rats, and when these infected rats come into close contact with humans, the fleas can bite and transmit the bacteria. Endemic typhus is characterized by fever, headache, rash, and body aches. It is typically a milder form of typhus compared to epidemic typhus, which is caused by a different species of Rickettsia.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vaccine can be frozen?</w:t>
      </w:r>
    </w:p>
    <w:p>
      <w:pPr>
        <w:spacing w:after="0" w:before="0"/>
      </w:pPr>
      <w:r>
        <w:rPr>
          <w:b w:val="0"/>
          <w:sz w:val="22"/>
        </w:rPr>
        <w:t>(a) MMR</w:t>
      </w:r>
    </w:p>
    <w:p>
      <w:pPr>
        <w:spacing w:after="0" w:before="0"/>
      </w:pPr>
      <w:r>
        <w:rPr>
          <w:b w:val="0"/>
          <w:sz w:val="22"/>
        </w:rPr>
        <w:t>(b) DPT/DT</w:t>
      </w:r>
    </w:p>
    <w:p>
      <w:pPr>
        <w:spacing w:after="0" w:before="0"/>
      </w:pPr>
      <w:r>
        <w:rPr>
          <w:b w:val="0"/>
          <w:sz w:val="22"/>
        </w:rPr>
        <w:t>(c) polio</w:t>
      </w:r>
    </w:p>
    <w:p>
      <w:pPr>
        <w:spacing w:after="0" w:before="0"/>
      </w:pPr>
      <w:r>
        <w:rPr>
          <w:b w:val="0"/>
          <w:sz w:val="22"/>
        </w:rPr>
        <w:t>(d) BCG</w:t>
      </w:r>
    </w:p>
    <w:p>
      <w:pPr>
        <w:spacing w:after="0" w:before="40"/>
      </w:pPr>
      <w:r>
        <w:rPr>
          <w:b/>
          <w:sz w:val="22"/>
        </w:rPr>
        <w:t>Answer: a</w:t>
      </w:r>
    </w:p>
    <w:p>
      <w:pPr>
        <w:spacing w:after="0" w:before="0"/>
      </w:pPr>
      <w:r>
        <w:rPr>
          <w:b w:val="0"/>
          <w:sz w:val="21"/>
        </w:rPr>
        <w:t>Solution: Freeze-dried vaccines such as MMR can be stored frozen, whereas liquid vaccines containing adjuvants (DPT, TT, Hepatitis B) must never be frozen.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component is NOT included in the Physical Quality of Life Index (PQLI)?</w:t>
      </w:r>
    </w:p>
    <w:p>
      <w:pPr>
        <w:spacing w:after="0" w:before="0"/>
      </w:pPr>
      <w:r>
        <w:rPr>
          <w:b w:val="0"/>
          <w:sz w:val="22"/>
        </w:rPr>
        <w:t>(a) Basic literacy rate</w:t>
      </w:r>
    </w:p>
    <w:p>
      <w:pPr>
        <w:spacing w:after="0" w:before="0"/>
      </w:pPr>
      <w:r>
        <w:rPr>
          <w:b w:val="0"/>
          <w:sz w:val="22"/>
        </w:rPr>
        <w:t>(b) IMR</w:t>
      </w:r>
    </w:p>
    <w:p>
      <w:pPr>
        <w:spacing w:after="0" w:before="0"/>
      </w:pPr>
      <w:r>
        <w:rPr>
          <w:b w:val="0"/>
          <w:sz w:val="22"/>
        </w:rPr>
        <w:t>(c) Life expectancy at one</w:t>
      </w:r>
    </w:p>
    <w:p>
      <w:pPr>
        <w:spacing w:after="0" w:before="0"/>
      </w:pPr>
      <w:r>
        <w:rPr>
          <w:b w:val="0"/>
          <w:sz w:val="22"/>
        </w:rPr>
        <w:t>(d) Per capita Income</w:t>
      </w:r>
    </w:p>
    <w:p>
      <w:pPr>
        <w:spacing w:after="0" w:before="40"/>
      </w:pPr>
      <w:r>
        <w:rPr>
          <w:b/>
          <w:sz w:val="22"/>
        </w:rPr>
        <w:t>Answer: d</w:t>
      </w:r>
    </w:p>
    <w:p>
      <w:pPr>
        <w:spacing w:after="0" w:before="0"/>
      </w:pPr>
      <w:r>
        <w:rPr>
          <w:b w:val="0"/>
          <w:sz w:val="21"/>
        </w:rPr>
        <w:t>Solution: The component NOT included in the Physical Quality of Life Index (PQLI) is per capita income. The PQLI is a composite index used to measure the quality of life in different countries. It incorporates three basic components: life expectancy at birth, infant mortality rate (IMR), and basic literacy rate. These components provide insights into the overall health, education, and well-being of the population. However, per capita income, although an important indicator of economic well-being, is not included in the PQLI.</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Height measurement of 2 year old child is done by</w:t>
      </w:r>
    </w:p>
    <w:p>
      <w:pPr>
        <w:spacing w:after="0" w:before="0"/>
      </w:pPr>
      <w:r>
        <w:rPr>
          <w:b w:val="0"/>
          <w:sz w:val="22"/>
        </w:rPr>
        <w:t>(a) Infantometer</w:t>
      </w:r>
    </w:p>
    <w:p>
      <w:pPr>
        <w:spacing w:after="0" w:before="0"/>
      </w:pPr>
      <w:r>
        <w:rPr>
          <w:b w:val="0"/>
          <w:sz w:val="22"/>
        </w:rPr>
        <w:t>(b) Goniometer</w:t>
      </w:r>
    </w:p>
    <w:p>
      <w:pPr>
        <w:spacing w:after="0" w:before="0"/>
      </w:pPr>
      <w:r>
        <w:rPr>
          <w:b w:val="0"/>
          <w:sz w:val="22"/>
        </w:rPr>
        <w:t>(c) Stadiometer</w:t>
      </w:r>
    </w:p>
    <w:p>
      <w:pPr>
        <w:spacing w:after="0" w:before="0"/>
      </w:pPr>
      <w:r>
        <w:rPr>
          <w:b w:val="0"/>
          <w:sz w:val="22"/>
        </w:rPr>
        <w:t>(d) Refractometer</w:t>
      </w:r>
    </w:p>
    <w:p>
      <w:pPr>
        <w:spacing w:after="0" w:before="40"/>
      </w:pPr>
      <w:r>
        <w:rPr>
          <w:b/>
          <w:sz w:val="22"/>
        </w:rPr>
        <w:t>Answer: c</w:t>
      </w:r>
    </w:p>
    <w:p>
      <w:pPr>
        <w:spacing w:after="0" w:before="0"/>
      </w:pPr>
      <w:r>
        <w:rPr>
          <w:b w:val="0"/>
          <w:sz w:val="21"/>
        </w:rPr>
        <w:t>Solution: Height of a 2-year-old child is measured with a stadiometer (standing height).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test should be done every week for a patient who is taking Clozapine?</w:t>
      </w:r>
    </w:p>
    <w:p>
      <w:pPr>
        <w:spacing w:after="0" w:before="0"/>
      </w:pPr>
      <w:r>
        <w:rPr>
          <w:b w:val="0"/>
          <w:sz w:val="22"/>
        </w:rPr>
        <w:t>(a) Sugar profile</w:t>
      </w:r>
    </w:p>
    <w:p>
      <w:pPr>
        <w:spacing w:after="0" w:before="0"/>
      </w:pPr>
      <w:r>
        <w:rPr>
          <w:b w:val="0"/>
          <w:sz w:val="22"/>
        </w:rPr>
        <w:t>(b) ESR</w:t>
      </w:r>
    </w:p>
    <w:p>
      <w:pPr>
        <w:spacing w:after="0" w:before="0"/>
      </w:pPr>
      <w:r>
        <w:rPr>
          <w:b w:val="0"/>
          <w:sz w:val="22"/>
        </w:rPr>
        <w:t>(c) BUN</w:t>
      </w:r>
    </w:p>
    <w:p>
      <w:pPr>
        <w:spacing w:after="0" w:before="0"/>
      </w:pPr>
      <w:r>
        <w:rPr>
          <w:b w:val="0"/>
          <w:sz w:val="22"/>
        </w:rPr>
        <w:t>(d) CBC</w:t>
      </w:r>
    </w:p>
    <w:p>
      <w:pPr>
        <w:spacing w:after="0" w:before="40"/>
      </w:pPr>
      <w:r>
        <w:rPr>
          <w:b/>
          <w:sz w:val="22"/>
        </w:rPr>
        <w:t>Answer: d</w:t>
      </w:r>
    </w:p>
    <w:p>
      <w:pPr>
        <w:spacing w:after="0" w:before="0"/>
      </w:pPr>
      <w:r>
        <w:rPr>
          <w:b w:val="0"/>
          <w:sz w:val="21"/>
        </w:rPr>
        <w:t>Solution: For a patient taking Clozapine, the test that should be done every week is a complete blood count (CBC) (option A). Clozapine is an atypical antipsychotic medication used in the treatment of schizophrenia. It is associated with a potential side effect called agranulocytosis, which is a severe decrease in the number of white blood cells, specifically neutrophils. Regular monitoring of the CBC, including the absolute neutrophil count (ANC), is crucial to detect any changes in the white blood cell levels. Close monitoring of the CBC helps to ensure early identification of agranulocytosis and prompt intervention if necessary.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ORS (Oral Rehydration Solution) should be given in acute diarrhoea:</w:t>
      </w:r>
    </w:p>
    <w:p>
      <w:pPr>
        <w:spacing w:after="0" w:before="0"/>
      </w:pPr>
      <w:r>
        <w:rPr>
          <w:b w:val="0"/>
          <w:sz w:val="22"/>
        </w:rPr>
        <w:t>(a) Only with antibiotics</w:t>
      </w:r>
    </w:p>
    <w:p>
      <w:pPr>
        <w:spacing w:after="0" w:before="0"/>
      </w:pPr>
      <w:r>
        <w:rPr>
          <w:b w:val="0"/>
          <w:sz w:val="22"/>
        </w:rPr>
        <w:t>(b) After every loose stool in small amounts</w:t>
      </w:r>
    </w:p>
    <w:p>
      <w:pPr>
        <w:spacing w:after="0" w:before="0"/>
      </w:pPr>
      <w:r>
        <w:rPr>
          <w:b w:val="0"/>
          <w:sz w:val="22"/>
        </w:rPr>
        <w:t>(c) Only if the child is vomiting</w:t>
      </w:r>
    </w:p>
    <w:p>
      <w:pPr>
        <w:spacing w:after="0" w:before="0"/>
      </w:pPr>
      <w:r>
        <w:rPr>
          <w:b w:val="0"/>
          <w:sz w:val="22"/>
        </w:rPr>
        <w:t>(d) Only when the child is hospitalised</w:t>
      </w:r>
    </w:p>
    <w:p>
      <w:pPr>
        <w:spacing w:after="0" w:before="40"/>
      </w:pPr>
      <w:r>
        <w:rPr>
          <w:b/>
          <w:sz w:val="22"/>
        </w:rPr>
        <w:t>Answer: b</w:t>
      </w:r>
    </w:p>
    <w:p>
      <w:pPr>
        <w:spacing w:after="0" w:before="0"/>
      </w:pPr>
      <w:r>
        <w:rPr>
          <w:b w:val="0"/>
          <w:sz w:val="21"/>
        </w:rPr>
        <w:t>Solution: ORS is given after each loose stool (about 50-100 ml per stool for a young child) to prevent dehydration.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Hable test is used to assess the potency of which vaccine?</w:t>
      </w:r>
    </w:p>
    <w:p>
      <w:pPr>
        <w:spacing w:after="0" w:before="0"/>
      </w:pPr>
      <w:r>
        <w:rPr>
          <w:b w:val="0"/>
          <w:sz w:val="22"/>
        </w:rPr>
        <w:t>(a) Measles</w:t>
      </w:r>
    </w:p>
    <w:p>
      <w:pPr>
        <w:spacing w:after="0" w:before="0"/>
      </w:pPr>
      <w:r>
        <w:rPr>
          <w:b w:val="0"/>
          <w:sz w:val="22"/>
        </w:rPr>
        <w:t>(b) DPT</w:t>
      </w:r>
    </w:p>
    <w:p>
      <w:pPr>
        <w:spacing w:after="0" w:before="0"/>
      </w:pPr>
      <w:r>
        <w:rPr>
          <w:b w:val="0"/>
          <w:sz w:val="22"/>
        </w:rPr>
        <w:t>(c) OPV</w:t>
      </w:r>
    </w:p>
    <w:p>
      <w:pPr>
        <w:spacing w:after="0" w:before="0"/>
      </w:pPr>
      <w:r>
        <w:rPr>
          <w:b w:val="0"/>
          <w:sz w:val="22"/>
        </w:rPr>
        <w:t>(d) BCG</w:t>
      </w:r>
    </w:p>
    <w:p>
      <w:pPr>
        <w:spacing w:after="0" w:before="40"/>
      </w:pPr>
      <w:r>
        <w:rPr>
          <w:b/>
          <w:sz w:val="22"/>
        </w:rPr>
        <w:t>Answer: d</w:t>
      </w:r>
    </w:p>
    <w:p>
      <w:pPr>
        <w:spacing w:after="0" w:before="0"/>
      </w:pPr>
      <w:r>
        <w:rPr>
          <w:b w:val="0"/>
          <w:sz w:val="21"/>
        </w:rPr>
        <w:t>Solution: The Hable (and modified Hable) test assesses the potency of BCG vaccine by counting viable bacilli; the shake test checks freeze-dried vaccine potency after reconstitution.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nurse observes clear, watery fluid draining from the nose of a client with a head injury. Which action is appropriate?</w:t>
      </w:r>
    </w:p>
    <w:p>
      <w:pPr>
        <w:spacing w:after="0" w:before="0"/>
      </w:pPr>
      <w:r>
        <w:rPr>
          <w:b w:val="0"/>
          <w:sz w:val="22"/>
        </w:rPr>
        <w:t>(a) Test the drainage for glucose to confirm cerebrospinal fluid</w:t>
      </w:r>
    </w:p>
    <w:p>
      <w:pPr>
        <w:spacing w:after="0" w:before="0"/>
      </w:pPr>
      <w:r>
        <w:rPr>
          <w:b w:val="0"/>
          <w:sz w:val="22"/>
        </w:rPr>
        <w:t>(b) Suction the nares to keep the airway clear</w:t>
      </w:r>
    </w:p>
    <w:p>
      <w:pPr>
        <w:spacing w:after="0" w:before="0"/>
      </w:pPr>
      <w:r>
        <w:rPr>
          <w:b w:val="0"/>
          <w:sz w:val="22"/>
        </w:rPr>
        <w:t>(c) Pack the nose with sterile gauze</w:t>
      </w:r>
    </w:p>
    <w:p>
      <w:pPr>
        <w:spacing w:after="0" w:before="0"/>
      </w:pPr>
      <w:r>
        <w:rPr>
          <w:b w:val="0"/>
          <w:sz w:val="22"/>
        </w:rPr>
        <w:t>(d) Place the client in the Trendelenburg position</w:t>
      </w:r>
    </w:p>
    <w:p>
      <w:pPr>
        <w:spacing w:after="0" w:before="40"/>
      </w:pPr>
      <w:r>
        <w:rPr>
          <w:b/>
          <w:sz w:val="22"/>
        </w:rPr>
        <w:t>Answer: a</w:t>
      </w:r>
    </w:p>
    <w:p>
      <w:pPr>
        <w:spacing w:after="0" w:before="0"/>
      </w:pPr>
      <w:r>
        <w:rPr>
          <w:b w:val="0"/>
          <w:sz w:val="21"/>
        </w:rPr>
        <w:t>Solution: Clear nasal drainage after head injury is likely CSF (rhinorrhea); it is tested for glucose, and suctioning or packing is avoided because it can introduce infection.</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