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initial diagnostic investigation of choice for suspected Placenta Previa in third trimester bleeding?</w:t>
      </w:r>
    </w:p>
    <w:p>
      <w:pPr>
        <w:spacing w:after="0" w:before="0"/>
      </w:pPr>
      <w:r>
        <w:rPr>
          <w:b w:val="0"/>
          <w:sz w:val="22"/>
        </w:rPr>
        <w:t>(a) Pelvic X-ray</w:t>
      </w:r>
    </w:p>
    <w:p>
      <w:pPr>
        <w:spacing w:after="0" w:before="0"/>
      </w:pPr>
      <w:r>
        <w:rPr>
          <w:b w:val="0"/>
          <w:sz w:val="22"/>
        </w:rPr>
        <w:t>(b) Obstetric Transabdominal / Transvaginal Ultrasonography (USG)</w:t>
      </w:r>
    </w:p>
    <w:p>
      <w:pPr>
        <w:spacing w:after="0" w:before="0"/>
      </w:pPr>
      <w:r>
        <w:rPr>
          <w:b w:val="0"/>
          <w:sz w:val="22"/>
        </w:rPr>
        <w:t>(c) CT scan</w:t>
      </w:r>
    </w:p>
    <w:p>
      <w:pPr>
        <w:spacing w:after="0" w:before="0"/>
      </w:pPr>
      <w:r>
        <w:rPr>
          <w:b w:val="0"/>
          <w:sz w:val="22"/>
        </w:rPr>
        <w:t>(d) MRI scan</w:t>
      </w:r>
    </w:p>
    <w:p>
      <w:pPr>
        <w:spacing w:after="0" w:before="40"/>
      </w:pPr>
      <w:r>
        <w:rPr>
          <w:b/>
          <w:sz w:val="22"/>
        </w:rPr>
        <w:t>Answer: b</w:t>
      </w:r>
    </w:p>
    <w:p>
      <w:pPr>
        <w:spacing w:after="0" w:before="0"/>
      </w:pPr>
      <w:r>
        <w:rPr>
          <w:b w:val="0"/>
          <w:sz w:val="21"/>
        </w:rPr>
        <w:t>Solution: Ultrasonography (USG) is the safe, non-invasive gold standard investigation to locate placental implantation site and diagnose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Disinfection of OT room</w:t>
      </w:r>
    </w:p>
    <w:p>
      <w:pPr>
        <w:spacing w:after="0" w:before="0"/>
      </w:pPr>
      <w:r>
        <w:rPr>
          <w:b w:val="0"/>
          <w:sz w:val="22"/>
        </w:rPr>
        <w:t>(b) Change surgical gown</w:t>
      </w:r>
    </w:p>
    <w:p>
      <w:pPr>
        <w:spacing w:after="0" w:before="0"/>
      </w:pPr>
      <w:r>
        <w:rPr>
          <w:b w:val="0"/>
          <w:sz w:val="22"/>
        </w:rPr>
        <w:t>(c) Perform complete sponge, needle, and instrument count with circulator</w:t>
      </w:r>
    </w:p>
    <w:p>
      <w:pPr>
        <w:spacing w:after="0" w:before="0"/>
      </w:pPr>
      <w:r>
        <w:rPr>
          <w:b w:val="0"/>
          <w:sz w:val="22"/>
        </w:rPr>
        <w:t>(d) Clean instruments</w:t>
      </w:r>
    </w:p>
    <w:p>
      <w:pPr>
        <w:spacing w:after="0" w:before="40"/>
      </w:pPr>
      <w:r>
        <w:rPr>
          <w:b/>
          <w:sz w:val="22"/>
        </w:rPr>
        <w:t>Answer: c</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Apply Foley`s catheter</w:t>
      </w:r>
    </w:p>
    <w:p>
      <w:pPr>
        <w:spacing w:after="0" w:before="0"/>
      </w:pPr>
      <w:r>
        <w:rPr>
          <w:b w:val="0"/>
          <w:sz w:val="22"/>
        </w:rPr>
        <w:t>(b) Place the client in left side lying position</w:t>
      </w:r>
    </w:p>
    <w:p>
      <w:pPr>
        <w:spacing w:after="0" w:before="0"/>
      </w:pPr>
      <w:r>
        <w:rPr>
          <w:b w:val="0"/>
          <w:sz w:val="22"/>
        </w:rPr>
        <w:t>(c) Auscultate and palpate for bruit and thrill</w:t>
      </w:r>
    </w:p>
    <w:p>
      <w:pPr>
        <w:spacing w:after="0" w:before="0"/>
      </w:pPr>
      <w:r>
        <w:rPr>
          <w:b w:val="0"/>
          <w:sz w:val="22"/>
        </w:rPr>
        <w:t>(d) Warm the dialysate solution</w:t>
      </w:r>
    </w:p>
    <w:p>
      <w:pPr>
        <w:spacing w:after="0" w:before="40"/>
      </w:pPr>
      <w:r>
        <w:rPr>
          <w:b/>
          <w:sz w:val="22"/>
        </w:rPr>
        <w:t>Answer: d</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a serological diagnostic test used to detect infection caused by</w:t>
      </w:r>
    </w:p>
    <w:p>
      <w:pPr>
        <w:spacing w:after="0" w:before="0"/>
      </w:pPr>
      <w:r>
        <w:rPr>
          <w:b w:val="0"/>
          <w:sz w:val="22"/>
        </w:rPr>
        <w:t>(a) Haemophilus influenzae</w:t>
      </w:r>
    </w:p>
    <w:p>
      <w:pPr>
        <w:spacing w:after="0" w:before="0"/>
      </w:pPr>
      <w:r>
        <w:rPr>
          <w:b w:val="0"/>
          <w:sz w:val="22"/>
        </w:rPr>
        <w:t>(b) Escherichia coli</w:t>
      </w:r>
    </w:p>
    <w:p>
      <w:pPr>
        <w:spacing w:after="0" w:before="0"/>
      </w:pPr>
      <w:r>
        <w:rPr>
          <w:b w:val="0"/>
          <w:sz w:val="22"/>
        </w:rPr>
        <w:t>(c) Salmonella typhi</w:t>
      </w:r>
    </w:p>
    <w:p>
      <w:pPr>
        <w:spacing w:after="0" w:before="0"/>
      </w:pPr>
      <w:r>
        <w:rPr>
          <w:b w:val="0"/>
          <w:sz w:val="22"/>
        </w:rPr>
        <w:t>(d) Mycobacterium tuberculosis</w:t>
      </w:r>
    </w:p>
    <w:p>
      <w:pPr>
        <w:spacing w:after="0" w:before="40"/>
      </w:pPr>
      <w:r>
        <w:rPr>
          <w:b/>
          <w:sz w:val="22"/>
        </w:rPr>
        <w:t>Answer: c</w:t>
      </w:r>
    </w:p>
    <w:p>
      <w:pPr>
        <w:spacing w:after="0" w:before="0"/>
      </w:pPr>
      <w:r>
        <w:rPr>
          <w:b w:val="0"/>
          <w:sz w:val="21"/>
        </w:rPr>
        <w:t>Solution: Widal agglutination test detects O and H antibodies against Salmonella typhi and paratyphi in enteric fever (Typhoid).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Serum institute of India</w:t>
      </w:r>
    </w:p>
    <w:p>
      <w:pPr>
        <w:spacing w:after="0" w:before="0"/>
      </w:pPr>
      <w:r>
        <w:rPr>
          <w:b w:val="0"/>
          <w:sz w:val="22"/>
        </w:rPr>
        <w:t>(b) Bharat biotech</w:t>
      </w:r>
    </w:p>
    <w:p>
      <w:pPr>
        <w:spacing w:after="0" w:before="0"/>
      </w:pPr>
      <w:r>
        <w:rPr>
          <w:b w:val="0"/>
          <w:sz w:val="22"/>
        </w:rPr>
        <w:t>(c) AstraZeneca</w:t>
      </w:r>
    </w:p>
    <w:p>
      <w:pPr>
        <w:spacing w:after="0" w:before="0"/>
      </w:pPr>
      <w:r>
        <w:rPr>
          <w:b w:val="0"/>
          <w:sz w:val="22"/>
        </w:rPr>
        <w:t>(d) National Institute of Virology</w:t>
      </w:r>
    </w:p>
    <w:p>
      <w:pPr>
        <w:spacing w:after="0" w:before="40"/>
      </w:pPr>
      <w:r>
        <w:rPr>
          <w:b/>
          <w:sz w:val="22"/>
        </w:rPr>
        <w:t>Answer: b</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HPV vaccination schedule for adolescent girls?</w:t>
      </w:r>
    </w:p>
    <w:p>
      <w:pPr>
        <w:spacing w:after="0" w:before="0"/>
      </w:pPr>
      <w:r>
        <w:rPr>
          <w:b w:val="0"/>
          <w:sz w:val="22"/>
        </w:rPr>
        <w:t>(a) 3 doses, in 0,2.6 month interval 15 years of age group</w:t>
      </w:r>
    </w:p>
    <w:p>
      <w:pPr>
        <w:spacing w:after="0" w:before="0"/>
      </w:pPr>
      <w:r>
        <w:rPr>
          <w:b w:val="0"/>
          <w:sz w:val="22"/>
        </w:rPr>
        <w:t>(b) 3 doses, in 0, 1, 6 month interval &lt;15 years of age group</w:t>
      </w:r>
    </w:p>
    <w:p>
      <w:pPr>
        <w:spacing w:after="0" w:before="0"/>
      </w:pPr>
      <w:r>
        <w:rPr>
          <w:b w:val="0"/>
          <w:sz w:val="22"/>
        </w:rPr>
        <w:t>(c) 3 doses, in 0,6,12 month interval&lt;15 years of age group</w:t>
      </w:r>
    </w:p>
    <w:p>
      <w:pPr>
        <w:spacing w:after="0" w:before="0"/>
      </w:pPr>
      <w:r>
        <w:rPr>
          <w:b w:val="0"/>
          <w:sz w:val="22"/>
        </w:rPr>
        <w:t>(d) 2 doses, in 1,6 month interval 15 years of age group</w:t>
      </w:r>
    </w:p>
    <w:p>
      <w:pPr>
        <w:spacing w:after="0" w:before="40"/>
      </w:pPr>
      <w:r>
        <w:rPr>
          <w:b/>
          <w:sz w:val="22"/>
        </w:rPr>
        <w:t>Answer: b</w:t>
      </w:r>
    </w:p>
    <w:p>
      <w:pPr>
        <w:spacing w:after="0" w:before="0"/>
      </w:pPr>
      <w:r>
        <w:rPr>
          <w:b w:val="0"/>
          <w:sz w:val="21"/>
        </w:rPr>
        <w:t>Solution: The recommended HPV vaccination schedule for adolescent girls is three doses given in a 0, 1, 6-month interval for those under 15 years of age (option B). The HPV vaccine protects against several strains of the human papillomavirus, which is a common sexually transmitted infection and a leading cause of cervical cancer. The three-dose schedule provides optimal protection against HPV and is recommended for girls and boys starting at age 11 or 12. The interval between doses allows for the development of an adequate immune response. It is important to follow the recommended schedule to ensure maximum effectiveness of the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Give the correct order of five stages of dying person.</w:t>
      </w:r>
    </w:p>
    <w:p>
      <w:pPr>
        <w:spacing w:after="0" w:before="0"/>
      </w:pPr>
      <w:r>
        <w:rPr>
          <w:b w:val="0"/>
          <w:sz w:val="22"/>
        </w:rPr>
        <w:t>(a) Depression - Denial - Anger - Bargaining - Acceptance</w:t>
      </w:r>
    </w:p>
    <w:p>
      <w:pPr>
        <w:spacing w:after="0" w:before="0"/>
      </w:pPr>
      <w:r>
        <w:rPr>
          <w:b w:val="0"/>
          <w:sz w:val="22"/>
        </w:rPr>
        <w:t>(b) Denial - Anger - Bargaining - Depression - Acceptance</w:t>
      </w:r>
    </w:p>
    <w:p>
      <w:pPr>
        <w:spacing w:after="0" w:before="0"/>
      </w:pPr>
      <w:r>
        <w:rPr>
          <w:b w:val="0"/>
          <w:sz w:val="22"/>
        </w:rPr>
        <w:t>(c) Anger - Depression - Bargaining - Denial - Acceptance</w:t>
      </w:r>
    </w:p>
    <w:p>
      <w:pPr>
        <w:spacing w:after="0" w:before="0"/>
      </w:pPr>
      <w:r>
        <w:rPr>
          <w:b w:val="0"/>
          <w:sz w:val="22"/>
        </w:rPr>
        <w:t>(d) Denial - Depression - Bargaining - Anger - Acceptance</w:t>
      </w:r>
    </w:p>
    <w:p>
      <w:pPr>
        <w:spacing w:after="0" w:before="40"/>
      </w:pPr>
      <w:r>
        <w:rPr>
          <w:b/>
          <w:sz w:val="22"/>
        </w:rPr>
        <w:t>Answer: b</w:t>
      </w:r>
    </w:p>
    <w:p>
      <w:pPr>
        <w:spacing w:after="0" w:before="0"/>
      </w:pPr>
      <w:r>
        <w:rPr>
          <w:b w:val="0"/>
          <w:sz w:val="21"/>
        </w:rPr>
        <w:t>Solution: Kübler-Ross stages of dying in order: Denial → Anger → Bargaining → Depression → Acceptance.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38 weeks gestation has BP 160/110 mm Hg with 3+ proteinuria. Which nursing action should be implemented FIRST?</w:t>
      </w:r>
    </w:p>
    <w:p>
      <w:pPr>
        <w:spacing w:after="0" w:before="0"/>
      </w:pPr>
      <w:r>
        <w:rPr>
          <w:b w:val="0"/>
          <w:sz w:val="22"/>
        </w:rPr>
        <w:t>(a) Place the client on her left side in bed</w:t>
      </w:r>
    </w:p>
    <w:p>
      <w:pPr>
        <w:spacing w:after="0" w:before="0"/>
      </w:pPr>
      <w:r>
        <w:rPr>
          <w:b w:val="0"/>
          <w:sz w:val="22"/>
        </w:rPr>
        <w:t>(b) Administer an oral antihypertensive</w:t>
      </w:r>
    </w:p>
    <w:p>
      <w:pPr>
        <w:spacing w:after="0" w:before="0"/>
      </w:pPr>
      <w:r>
        <w:rPr>
          <w:b w:val="0"/>
          <w:sz w:val="22"/>
        </w:rPr>
        <w:t>(c) Prepare the client for cesarean delivery</w:t>
      </w:r>
    </w:p>
    <w:p>
      <w:pPr>
        <w:spacing w:after="0" w:before="0"/>
      </w:pPr>
      <w:r>
        <w:rPr>
          <w:b w:val="0"/>
          <w:sz w:val="22"/>
        </w:rPr>
        <w:t>(d) Apply the electronic fetal monitor</w:t>
      </w:r>
    </w:p>
    <w:p>
      <w:pPr>
        <w:spacing w:after="0" w:before="40"/>
      </w:pPr>
      <w:r>
        <w:rPr>
          <w:b/>
          <w:sz w:val="22"/>
        </w:rPr>
        <w:t>Answer: a</w:t>
      </w:r>
    </w:p>
    <w:p>
      <w:pPr>
        <w:spacing w:after="0" w:before="0"/>
      </w:pPr>
      <w:r>
        <w:rPr>
          <w:b w:val="0"/>
          <w:sz w:val="21"/>
        </w:rPr>
        <w:t>Solution: In severe preeclampsia the first action is left-lateral positioning to improve placental and renal perfusion, followed by magnesium sulfate, BP control and fetal monitoring.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Pregnant lady with card presentation in what is nursing priority?</w:t>
      </w:r>
    </w:p>
    <w:p>
      <w:pPr>
        <w:spacing w:after="0" w:before="0"/>
      </w:pPr>
      <w:r>
        <w:rPr>
          <w:b w:val="0"/>
          <w:sz w:val="22"/>
        </w:rPr>
        <w:t>(a) Give reverse Trendelenburg position</w:t>
      </w:r>
    </w:p>
    <w:p>
      <w:pPr>
        <w:spacing w:after="0" w:before="0"/>
      </w:pPr>
      <w:r>
        <w:rPr>
          <w:b w:val="0"/>
          <w:sz w:val="22"/>
        </w:rPr>
        <w:t>(b) Inform to HCP</w:t>
      </w:r>
    </w:p>
    <w:p>
      <w:pPr>
        <w:spacing w:after="0" w:before="0"/>
      </w:pPr>
      <w:r>
        <w:rPr>
          <w:b w:val="0"/>
          <w:sz w:val="22"/>
        </w:rPr>
        <w:t>(c) Gently push the cord</w:t>
      </w:r>
    </w:p>
    <w:p>
      <w:pPr>
        <w:spacing w:after="0" w:before="0"/>
      </w:pPr>
      <w:r>
        <w:rPr>
          <w:b w:val="0"/>
          <w:sz w:val="22"/>
        </w:rPr>
        <w:t>(d) Give Trendelenburg position</w:t>
      </w:r>
    </w:p>
    <w:p>
      <w:pPr>
        <w:spacing w:after="0" w:before="40"/>
      </w:pPr>
      <w:r>
        <w:rPr>
          <w:b/>
          <w:sz w:val="22"/>
        </w:rPr>
        <w:t>Answer: d</w:t>
      </w:r>
    </w:p>
    <w:p>
      <w:pPr>
        <w:spacing w:after="0" w:before="0"/>
      </w:pPr>
      <w:r>
        <w:rPr>
          <w:b w:val="0"/>
          <w:sz w:val="21"/>
        </w:rPr>
        <w:t>Solution: In cord prolapse, place the mother in Trendelenburg or knee-chest position to relieve compression of the cord while preparing for urgent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Continuous fetal monitoring</w:t>
      </w:r>
    </w:p>
    <w:p>
      <w:pPr>
        <w:spacing w:after="0" w:before="0"/>
      </w:pPr>
      <w:r>
        <w:rPr>
          <w:b w:val="0"/>
          <w:sz w:val="22"/>
        </w:rPr>
        <w:t>(b) Vaginal examination</w:t>
      </w:r>
    </w:p>
    <w:p>
      <w:pPr>
        <w:spacing w:after="0" w:before="0"/>
      </w:pPr>
      <w:r>
        <w:rPr>
          <w:b w:val="0"/>
          <w:sz w:val="22"/>
        </w:rPr>
        <w:t>(c) Bed rest with activity restriction</w:t>
      </w:r>
    </w:p>
    <w:p>
      <w:pPr>
        <w:spacing w:after="0" w:before="0"/>
      </w:pPr>
      <w:r>
        <w:rPr>
          <w:b w:val="0"/>
          <w:sz w:val="22"/>
        </w:rPr>
        <w:t>(d) Maintaining IV access</w:t>
      </w:r>
    </w:p>
    <w:p>
      <w:pPr>
        <w:spacing w:after="0" w:before="40"/>
      </w:pPr>
      <w:r>
        <w:rPr>
          <w:b/>
          <w:sz w:val="22"/>
        </w:rPr>
        <w:t>Answer: b</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Give sedative</w:t>
      </w:r>
    </w:p>
    <w:p>
      <w:pPr>
        <w:spacing w:after="0" w:before="0"/>
      </w:pPr>
      <w:r>
        <w:rPr>
          <w:b w:val="0"/>
          <w:sz w:val="22"/>
        </w:rPr>
        <w:t>(b) Give O2 directly</w:t>
      </w:r>
    </w:p>
    <w:p>
      <w:pPr>
        <w:spacing w:after="0" w:before="0"/>
      </w:pPr>
      <w:r>
        <w:rPr>
          <w:b w:val="0"/>
          <w:sz w:val="22"/>
        </w:rPr>
        <w:t>(c) Paper bag breath</w:t>
      </w:r>
    </w:p>
    <w:p>
      <w:pPr>
        <w:spacing w:after="0" w:before="0"/>
      </w:pPr>
      <w:r>
        <w:rPr>
          <w:b w:val="0"/>
          <w:sz w:val="22"/>
        </w:rPr>
        <w:t>(d) Inform the doctor</w:t>
      </w:r>
    </w:p>
    <w:p>
      <w:pPr>
        <w:spacing w:after="0" w:before="40"/>
      </w:pPr>
      <w:r>
        <w:rPr>
          <w:b/>
          <w:sz w:val="22"/>
        </w:rPr>
        <w:t>Answer: c</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alcohol withdrawal develops tremors, sweating and auditory hallucinations. What is the priority nursing intervention?</w:t>
      </w:r>
    </w:p>
    <w:p>
      <w:pPr>
        <w:spacing w:after="0" w:before="0"/>
      </w:pPr>
      <w:r>
        <w:rPr>
          <w:b w:val="0"/>
          <w:sz w:val="22"/>
        </w:rPr>
        <w:t>(a) Restrict oral fluids</w:t>
      </w:r>
    </w:p>
    <w:p>
      <w:pPr>
        <w:spacing w:after="0" w:before="0"/>
      </w:pPr>
      <w:r>
        <w:rPr>
          <w:b w:val="0"/>
          <w:sz w:val="22"/>
        </w:rPr>
        <w:t>(b) Apply soft restraints</w:t>
      </w:r>
    </w:p>
    <w:p>
      <w:pPr>
        <w:spacing w:after="0" w:before="0"/>
      </w:pPr>
      <w:r>
        <w:rPr>
          <w:b w:val="0"/>
          <w:sz w:val="22"/>
        </w:rPr>
        <w:t>(c) Administer a benzodiazepine as ordered</w:t>
      </w:r>
    </w:p>
    <w:p>
      <w:pPr>
        <w:spacing w:after="0" w:before="0"/>
      </w:pPr>
      <w:r>
        <w:rPr>
          <w:b w:val="0"/>
          <w:sz w:val="22"/>
        </w:rPr>
        <w:t>(d) Provide a high-protein diet</w:t>
      </w:r>
    </w:p>
    <w:p>
      <w:pPr>
        <w:spacing w:after="0" w:before="40"/>
      </w:pPr>
      <w:r>
        <w:rPr>
          <w:b/>
          <w:sz w:val="22"/>
        </w:rPr>
        <w:t>Answer: c</w:t>
      </w:r>
    </w:p>
    <w:p>
      <w:pPr>
        <w:spacing w:after="0" w:before="0"/>
      </w:pPr>
      <w:r>
        <w:rPr>
          <w:b w:val="0"/>
          <w:sz w:val="21"/>
        </w:rPr>
        <w:t>Solution: Benzodiazepines are the mainstay for preventing and treating delirium tremens; the priority is to medicate promptly to prevent progression to seizures and DTs.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Measles</w:t>
      </w:r>
    </w:p>
    <w:p>
      <w:pPr>
        <w:spacing w:after="0" w:before="0"/>
      </w:pPr>
      <w:r>
        <w:rPr>
          <w:b w:val="0"/>
          <w:sz w:val="22"/>
        </w:rPr>
        <w:t>(b) DPT</w:t>
      </w:r>
    </w:p>
    <w:p>
      <w:pPr>
        <w:spacing w:after="0" w:before="0"/>
      </w:pPr>
      <w:r>
        <w:rPr>
          <w:b w:val="0"/>
          <w:sz w:val="22"/>
        </w:rPr>
        <w:t>(c) OPV</w:t>
      </w:r>
    </w:p>
    <w:p>
      <w:pPr>
        <w:spacing w:after="0" w:before="0"/>
      </w:pPr>
      <w:r>
        <w:rPr>
          <w:b w:val="0"/>
          <w:sz w:val="22"/>
        </w:rPr>
        <w:t>(d) MMR</w:t>
      </w:r>
    </w:p>
    <w:p>
      <w:pPr>
        <w:spacing w:after="0" w:before="40"/>
      </w:pPr>
      <w:r>
        <w:rPr>
          <w:b/>
          <w:sz w:val="22"/>
        </w:rPr>
        <w:t>Answer: b</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Rest and sleep</w:t>
      </w:r>
    </w:p>
    <w:p>
      <w:pPr>
        <w:spacing w:after="0" w:before="0"/>
      </w:pPr>
      <w:r>
        <w:rPr>
          <w:b w:val="0"/>
          <w:sz w:val="22"/>
        </w:rPr>
        <w:t>(b) Use of NSAIDs such as ibuprofen</w:t>
      </w:r>
    </w:p>
    <w:p>
      <w:pPr>
        <w:spacing w:after="0" w:before="0"/>
      </w:pPr>
      <w:r>
        <w:rPr>
          <w:b w:val="0"/>
          <w:sz w:val="22"/>
        </w:rPr>
        <w:t>(c) Staying well hydrated</w:t>
      </w:r>
    </w:p>
    <w:p>
      <w:pPr>
        <w:spacing w:after="0" w:before="0"/>
      </w:pPr>
      <w:r>
        <w:rPr>
          <w:b w:val="0"/>
          <w:sz w:val="22"/>
        </w:rPr>
        <w:t>(d) Use of oral acetaminophen (paracetamol)</w:t>
      </w:r>
    </w:p>
    <w:p>
      <w:pPr>
        <w:spacing w:after="0" w:before="40"/>
      </w:pPr>
      <w:r>
        <w:rPr>
          <w:b/>
          <w:sz w:val="22"/>
        </w:rPr>
        <w:t>Answer: b</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2°C to 8°C</w:t>
      </w:r>
    </w:p>
    <w:p>
      <w:pPr>
        <w:spacing w:after="0" w:before="0"/>
      </w:pPr>
      <w:r>
        <w:rPr>
          <w:b w:val="0"/>
          <w:sz w:val="22"/>
        </w:rPr>
        <w:t>(b) 16°C to 22°C</w:t>
      </w:r>
    </w:p>
    <w:p>
      <w:pPr>
        <w:spacing w:after="0" w:before="0"/>
      </w:pPr>
      <w:r>
        <w:rPr>
          <w:b w:val="0"/>
          <w:sz w:val="22"/>
        </w:rPr>
        <w:t>(c) At room temperature</w:t>
      </w:r>
    </w:p>
    <w:p>
      <w:pPr>
        <w:spacing w:after="0" w:before="0"/>
      </w:pPr>
      <w:r>
        <w:rPr>
          <w:b w:val="0"/>
          <w:sz w:val="22"/>
        </w:rPr>
        <w:t>(d) 0°C to 2°C</w:t>
      </w:r>
    </w:p>
    <w:p>
      <w:pPr>
        <w:spacing w:after="0" w:before="40"/>
      </w:pPr>
      <w:r>
        <w:rPr>
          <w:b/>
          <w:sz w:val="22"/>
        </w:rPr>
        <w:t>Answer: a</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hypoxia is:</w:t>
      </w:r>
    </w:p>
    <w:p>
      <w:pPr>
        <w:spacing w:after="0" w:before="0"/>
      </w:pPr>
      <w:r>
        <w:rPr>
          <w:b w:val="0"/>
          <w:sz w:val="22"/>
        </w:rPr>
        <w:t>(a) Unconsciousness</w:t>
      </w:r>
    </w:p>
    <w:p>
      <w:pPr>
        <w:spacing w:after="0" w:before="0"/>
      </w:pPr>
      <w:r>
        <w:rPr>
          <w:b w:val="0"/>
          <w:sz w:val="22"/>
        </w:rPr>
        <w:t>(b) Restlessness and anxiety</w:t>
      </w:r>
    </w:p>
    <w:p>
      <w:pPr>
        <w:spacing w:after="0" w:before="0"/>
      </w:pPr>
      <w:r>
        <w:rPr>
          <w:b w:val="0"/>
          <w:sz w:val="22"/>
        </w:rPr>
        <w:t>(c) Bradycardia</w:t>
      </w:r>
    </w:p>
    <w:p>
      <w:pPr>
        <w:spacing w:after="0" w:before="0"/>
      </w:pPr>
      <w:r>
        <w:rPr>
          <w:b w:val="0"/>
          <w:sz w:val="22"/>
        </w:rPr>
        <w:t>(d) Cyanosis</w:t>
      </w:r>
    </w:p>
    <w:p>
      <w:pPr>
        <w:spacing w:after="0" w:before="40"/>
      </w:pPr>
      <w:r>
        <w:rPr>
          <w:b/>
          <w:sz w:val="22"/>
        </w:rPr>
        <w:t>Answer: b</w:t>
      </w:r>
    </w:p>
    <w:p>
      <w:pPr>
        <w:spacing w:after="0" w:before="0"/>
      </w:pPr>
      <w:r>
        <w:rPr>
          <w:b w:val="0"/>
          <w:sz w:val="21"/>
        </w:rPr>
        <w:t>Solution: Restlessness and anxiety are early signs of hypoxia; cyanosis appears 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Bradycardia</w:t>
      </w:r>
    </w:p>
    <w:p>
      <w:pPr>
        <w:spacing w:after="0" w:before="0"/>
      </w:pPr>
      <w:r>
        <w:rPr>
          <w:b w:val="0"/>
          <w:sz w:val="22"/>
        </w:rPr>
        <w:t>(b) Altered level of consciousness</w:t>
      </w:r>
    </w:p>
    <w:p>
      <w:pPr>
        <w:spacing w:after="0" w:before="0"/>
      </w:pPr>
      <w:r>
        <w:rPr>
          <w:b w:val="0"/>
          <w:sz w:val="22"/>
        </w:rPr>
        <w:t>(c) Papilloedema</w:t>
      </w:r>
    </w:p>
    <w:p>
      <w:pPr>
        <w:spacing w:after="0" w:before="0"/>
      </w:pPr>
      <w:r>
        <w:rPr>
          <w:b w:val="0"/>
          <w:sz w:val="22"/>
        </w:rPr>
        <w:t>(d) Vomiting</w:t>
      </w:r>
    </w:p>
    <w:p>
      <w:pPr>
        <w:spacing w:after="0" w:before="40"/>
      </w:pPr>
      <w:r>
        <w:rPr>
          <w:b/>
          <w:sz w:val="22"/>
        </w:rPr>
        <w:t>Answer: b</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covid symptoms in the child, except?</w:t>
      </w:r>
    </w:p>
    <w:p>
      <w:pPr>
        <w:spacing w:after="0" w:before="0"/>
      </w:pPr>
      <w:r>
        <w:rPr>
          <w:b w:val="0"/>
          <w:sz w:val="22"/>
        </w:rPr>
        <w:t>(a) Shock</w:t>
      </w:r>
    </w:p>
    <w:p>
      <w:pPr>
        <w:spacing w:after="0" w:before="0"/>
      </w:pPr>
      <w:r>
        <w:rPr>
          <w:b w:val="0"/>
          <w:sz w:val="22"/>
        </w:rPr>
        <w:t>(b) Purulent conjunctivitis</w:t>
      </w:r>
    </w:p>
    <w:p>
      <w:pPr>
        <w:spacing w:after="0" w:before="0"/>
      </w:pPr>
      <w:r>
        <w:rPr>
          <w:b w:val="0"/>
          <w:sz w:val="22"/>
        </w:rPr>
        <w:t>(c) Fever</w:t>
      </w:r>
    </w:p>
    <w:p>
      <w:pPr>
        <w:spacing w:after="0" w:before="0"/>
      </w:pPr>
      <w:r>
        <w:rPr>
          <w:b w:val="0"/>
          <w:sz w:val="22"/>
        </w:rPr>
        <w:t>(d) Rhinitis</w:t>
      </w:r>
    </w:p>
    <w:p>
      <w:pPr>
        <w:spacing w:after="0" w:before="40"/>
      </w:pPr>
      <w:r>
        <w:rPr>
          <w:b/>
          <w:sz w:val="22"/>
        </w:rPr>
        <w:t>Answer: a</w:t>
      </w:r>
    </w:p>
    <w:p>
      <w:pPr>
        <w:spacing w:after="0" w:before="0"/>
      </w:pPr>
      <w:r>
        <w:rPr>
          <w:b w:val="0"/>
          <w:sz w:val="21"/>
        </w:rPr>
        <w:t>Solution: In children, shock is not typically considered a common symptom of COVID-19 (option A). Children infected with COVID-19 may exhibit a range of symptoms, but shock, which refers to a life-threatening condition characterized by inadequate blood flow to vital organs, is not commonly associated with the infection in children. Instead, common symptoms in children with COVID-19 may include fever, cough, sore throat, rhinitis (runny nose), fatigue, headache, gastrointestinal symptoms, such as nausea and diarrhea, and in some cases, skin rashes. It is important to note that the symptoms of COVID-19 can vary among individuals, and medical evaluation should be sought for proper diagnosis and management. covid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breastfeeding mother reports cracked, painful nipples. Which instruction is most appropriate?</w:t>
      </w:r>
    </w:p>
    <w:p>
      <w:pPr>
        <w:spacing w:after="0" w:before="0"/>
      </w:pPr>
      <w:r>
        <w:rPr>
          <w:b w:val="0"/>
          <w:sz w:val="22"/>
        </w:rPr>
        <w:t>(a) Correct the latch and apply purified lanolin after feeds</w:t>
      </w:r>
    </w:p>
    <w:p>
      <w:pPr>
        <w:spacing w:after="0" w:before="0"/>
      </w:pPr>
      <w:r>
        <w:rPr>
          <w:b w:val="0"/>
          <w:sz w:val="22"/>
        </w:rPr>
        <w:t>(b) Switch to formula until the nipples heal</w:t>
      </w:r>
    </w:p>
    <w:p>
      <w:pPr>
        <w:spacing w:after="0" w:before="0"/>
      </w:pPr>
      <w:r>
        <w:rPr>
          <w:b w:val="0"/>
          <w:sz w:val="22"/>
        </w:rPr>
        <w:t>(c) Stop breastfeeding for 2 days to allow healing</w:t>
      </w:r>
    </w:p>
    <w:p>
      <w:pPr>
        <w:spacing w:after="0" w:before="0"/>
      </w:pPr>
      <w:r>
        <w:rPr>
          <w:b w:val="0"/>
          <w:sz w:val="22"/>
        </w:rPr>
        <w:t>(d) Wash the nipples with soap before each feed</w:t>
      </w:r>
    </w:p>
    <w:p>
      <w:pPr>
        <w:spacing w:after="0" w:before="40"/>
      </w:pPr>
      <w:r>
        <w:rPr>
          <w:b/>
          <w:sz w:val="22"/>
        </w:rPr>
        <w:t>Answer: a</w:t>
      </w:r>
    </w:p>
    <w:p>
      <w:pPr>
        <w:spacing w:after="0" w:before="0"/>
      </w:pPr>
      <w:r>
        <w:rPr>
          <w:b w:val="0"/>
          <w:sz w:val="21"/>
        </w:rPr>
        <w:t>Solution: Cracked nipples are usually caused by a poor latch; correcting positioning, air-drying and applying lanolin promote healing while breastfeeding continues.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DPT</w:t>
      </w:r>
    </w:p>
    <w:p>
      <w:pPr>
        <w:spacing w:after="0" w:before="0"/>
      </w:pPr>
      <w:r>
        <w:rPr>
          <w:b w:val="0"/>
          <w:sz w:val="22"/>
        </w:rPr>
        <w:t>(b) T.T</w:t>
      </w:r>
    </w:p>
    <w:p>
      <w:pPr>
        <w:spacing w:after="0" w:before="0"/>
      </w:pPr>
      <w:r>
        <w:rPr>
          <w:b w:val="0"/>
          <w:sz w:val="22"/>
        </w:rPr>
        <w:t>(c) Measles</w:t>
      </w:r>
    </w:p>
    <w:p>
      <w:pPr>
        <w:spacing w:after="0" w:before="0"/>
      </w:pPr>
      <w:r>
        <w:rPr>
          <w:b w:val="0"/>
          <w:sz w:val="22"/>
        </w:rPr>
        <w:t>(d) Hepatitis B</w:t>
      </w:r>
    </w:p>
    <w:p>
      <w:pPr>
        <w:spacing w:after="0" w:before="40"/>
      </w:pPr>
      <w:r>
        <w:rPr>
          <w:b/>
          <w:sz w:val="22"/>
        </w:rPr>
        <w:t>Answer: b</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