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When did India commence COVID-19 vaccination with COVAXIN?</w:t>
      </w:r>
    </w:p>
    <w:p>
      <w:pPr>
        <w:spacing w:after="0" w:before="0"/>
      </w:pPr>
      <w:r>
        <w:rPr>
          <w:b w:val="0"/>
          <w:sz w:val="22"/>
        </w:rPr>
        <w:t>(a) 20 January 2021,</w:t>
      </w:r>
    </w:p>
    <w:p>
      <w:pPr>
        <w:spacing w:after="0" w:before="0"/>
      </w:pPr>
      <w:r>
        <w:rPr>
          <w:b w:val="0"/>
          <w:sz w:val="22"/>
        </w:rPr>
        <w:t>(b) 16 January 2021,</w:t>
      </w:r>
    </w:p>
    <w:p>
      <w:pPr>
        <w:spacing w:after="0" w:before="0"/>
      </w:pPr>
      <w:r>
        <w:rPr>
          <w:b w:val="0"/>
          <w:sz w:val="22"/>
        </w:rPr>
        <w:t>(c) 22 January 2021,</w:t>
      </w:r>
    </w:p>
    <w:p>
      <w:pPr>
        <w:spacing w:after="0" w:before="0"/>
      </w:pPr>
      <w:r>
        <w:rPr>
          <w:b w:val="0"/>
          <w:sz w:val="22"/>
        </w:rPr>
        <w:t>(d) 18 January 2021,</w:t>
      </w:r>
    </w:p>
    <w:p>
      <w:pPr>
        <w:spacing w:after="0" w:before="40"/>
      </w:pPr>
      <w:r>
        <w:rPr>
          <w:b/>
          <w:sz w:val="22"/>
        </w:rPr>
        <w:t>Answer: b</w:t>
      </w:r>
    </w:p>
    <w:p>
      <w:pPr>
        <w:spacing w:after="0" w:before="0"/>
      </w:pPr>
      <w:r>
        <w:rPr>
          <w:b w:val="0"/>
          <w:sz w:val="21"/>
        </w:rPr>
        <w:t>Solution: India commenced COVID-19 vaccination with COVAXIN on 16 January 2021 (option A). COVAXIN is an indigenous COVID-19 vaccine developed by Bharat Biotech in collaboration with the Indian Council of Medical Research (ICMR) and the National Institute of Virology (NIV). It is a whole-virion inactivated vaccine that triggers an immune response against the SARS-CoV-2 virus. The vaccination campaign in India aimed to protect individuals against COVID-19 and reduce the impact of the pandemic. The vaccine rollout followed a phased approach, prioritizing healthcare workers, frontline workers, and individuals at higher risk.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are true about Febrile seizure in children except</w:t>
      </w:r>
    </w:p>
    <w:p>
      <w:pPr>
        <w:spacing w:after="0" w:before="0"/>
      </w:pPr>
      <w:r>
        <w:rPr>
          <w:b w:val="0"/>
          <w:sz w:val="22"/>
        </w:rPr>
        <w:t>(a) Risk of injury</w:t>
      </w:r>
    </w:p>
    <w:p>
      <w:pPr>
        <w:spacing w:after="0" w:before="0"/>
      </w:pPr>
      <w:r>
        <w:rPr>
          <w:b w:val="0"/>
          <w:sz w:val="22"/>
        </w:rPr>
        <w:t>(b) Cerebral hypoxia is evident</w:t>
      </w:r>
    </w:p>
    <w:p>
      <w:pPr>
        <w:spacing w:after="0" w:before="0"/>
      </w:pPr>
      <w:r>
        <w:rPr>
          <w:b w:val="0"/>
          <w:sz w:val="22"/>
        </w:rPr>
        <w:t>(c) Young age is not a major risk factor</w:t>
      </w:r>
    </w:p>
    <w:p>
      <w:pPr>
        <w:spacing w:after="0" w:before="0"/>
      </w:pPr>
      <w:r>
        <w:rPr>
          <w:b w:val="0"/>
          <w:sz w:val="22"/>
        </w:rPr>
        <w:t>(d) Administer PCM as a part of management of Febrile seizure</w:t>
      </w:r>
    </w:p>
    <w:p>
      <w:pPr>
        <w:spacing w:after="0" w:before="40"/>
      </w:pPr>
      <w:r>
        <w:rPr>
          <w:b/>
          <w:sz w:val="22"/>
        </w:rPr>
        <w:t>Answer: c</w:t>
      </w:r>
    </w:p>
    <w:p>
      <w:pPr>
        <w:spacing w:after="0" w:before="0"/>
      </w:pPr>
      <w:r>
        <w:rPr>
          <w:b w:val="0"/>
          <w:sz w:val="21"/>
        </w:rPr>
        <w:t>Solution: Febrile seizures occur in young children (6 months-5 years); age is a recognised risk factor, so 'young age is not a major risk factor' is the false statement.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comes on first antenatal visit at 10 weeks and states that she already have two earlier pregnancy that was delivered three years ago in NST OB 4 that one baby delivered at 36 weeks of gestation and another is delivered at 39 weeks of gestation. What is the GTPAL score?</w:t>
      </w:r>
    </w:p>
    <w:p>
      <w:pPr>
        <w:spacing w:after="0" w:before="0"/>
      </w:pPr>
      <w:r>
        <w:rPr>
          <w:b w:val="0"/>
          <w:sz w:val="22"/>
        </w:rPr>
        <w:t>(a) G3 T1 P1 A3 L1</w:t>
      </w:r>
    </w:p>
    <w:p>
      <w:pPr>
        <w:spacing w:after="0" w:before="0"/>
      </w:pPr>
      <w:r>
        <w:rPr>
          <w:b w:val="0"/>
          <w:sz w:val="22"/>
        </w:rPr>
        <w:t>(b) G3 T1 P0 A1 L3</w:t>
      </w:r>
    </w:p>
    <w:p>
      <w:pPr>
        <w:spacing w:after="0" w:before="0"/>
      </w:pPr>
      <w:r>
        <w:rPr>
          <w:b w:val="0"/>
          <w:sz w:val="22"/>
        </w:rPr>
        <w:t>(c) G3 T2 P2 A1 L2</w:t>
      </w:r>
    </w:p>
    <w:p>
      <w:pPr>
        <w:spacing w:after="0" w:before="0"/>
      </w:pPr>
      <w:r>
        <w:rPr>
          <w:b w:val="0"/>
          <w:sz w:val="22"/>
        </w:rPr>
        <w:t>(d) G3 T1 P1 A0 L2</w:t>
      </w:r>
    </w:p>
    <w:p>
      <w:pPr>
        <w:spacing w:after="0" w:before="40"/>
      </w:pPr>
      <w:r>
        <w:rPr>
          <w:b/>
          <w:sz w:val="22"/>
        </w:rPr>
        <w:t>Answer: b</w:t>
      </w:r>
    </w:p>
    <w:p>
      <w:pPr>
        <w:spacing w:after="0" w:before="0"/>
      </w:pPr>
      <w:r>
        <w:rPr>
          <w:b w:val="0"/>
          <w:sz w:val="21"/>
        </w:rPr>
        <w:t>Solution: GTPAL is a system used to describe a woman's obstetric history. G stands for gravida, which is the total number of times a woman has been pregnant, including the current pregnancy. T stands for term births, the number of pregnancies carried to term, i.e., 37 weeks or more. P stands for preterm births, the number of pregnancies delivered before 37 weeks. A stands for abortions, including miscarriages and elective terminations. L stands for living children. Based on the given information, the GTPAL score would be G3 T1 P1 A0 L2, indicating that the woman has been pregnant three times, had one term birth, one preterm birth, no abortions, and two living children. (Source: Williams Obstetrics, 25th edition, Chapter 3, page 47)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It meant by posthumous child?</w:t>
      </w:r>
    </w:p>
    <w:p>
      <w:pPr>
        <w:spacing w:after="0" w:before="0"/>
      </w:pPr>
      <w:r>
        <w:rPr>
          <w:b w:val="0"/>
          <w:sz w:val="22"/>
        </w:rPr>
        <w:t>(a) Childbirth after death of both biological parent</w:t>
      </w:r>
    </w:p>
    <w:p>
      <w:pPr>
        <w:spacing w:after="0" w:before="0"/>
      </w:pPr>
      <w:r>
        <w:rPr>
          <w:b w:val="0"/>
          <w:sz w:val="22"/>
        </w:rPr>
        <w:t>(b) Child who doesn't hate mother</w:t>
      </w:r>
    </w:p>
    <w:p>
      <w:pPr>
        <w:spacing w:after="0" w:before="0"/>
      </w:pPr>
      <w:r>
        <w:rPr>
          <w:b w:val="0"/>
          <w:sz w:val="22"/>
        </w:rPr>
        <w:t>(c) Abused child</w:t>
      </w:r>
    </w:p>
    <w:p>
      <w:pPr>
        <w:spacing w:after="0" w:before="0"/>
      </w:pPr>
      <w:r>
        <w:rPr>
          <w:b w:val="0"/>
          <w:sz w:val="22"/>
        </w:rPr>
        <w:t>(d) Child who lost the parents after birth</w:t>
      </w:r>
    </w:p>
    <w:p>
      <w:pPr>
        <w:spacing w:after="0" w:before="40"/>
      </w:pPr>
      <w:r>
        <w:rPr>
          <w:b/>
          <w:sz w:val="22"/>
        </w:rPr>
        <w:t>Answer: a</w:t>
      </w:r>
    </w:p>
    <w:p>
      <w:pPr>
        <w:spacing w:after="0" w:before="0"/>
      </w:pPr>
      <w:r>
        <w:rPr>
          <w:b w:val="0"/>
          <w:sz w:val="21"/>
        </w:rPr>
        <w:t>Solution: A posthumous child refers to a child who is born after the death of one or both of their biological parents. It specifically refers to a child who is conceived before the death of the biological parent(s) but born after their demise. This situation can occur due to advanced reproductive technologies, such as postmortem sperm retrieval or the use of stored frozen embryos. The term "posthumous child" highlights the unique circumstances surrounding the child's birth and the absence of one or both biological parents during their upbringing. "Forensic Medicine: A Handbook for Professionals," Chapter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the active phase of the first stage of labor, the nurse assesses the cervical dilation and documents it as:</w:t>
      </w:r>
    </w:p>
    <w:p>
      <w:pPr>
        <w:spacing w:after="0" w:before="0"/>
      </w:pPr>
      <w:r>
        <w:rPr>
          <w:b w:val="0"/>
          <w:sz w:val="22"/>
        </w:rPr>
        <w:t>(a) 8-10 cm</w:t>
      </w:r>
    </w:p>
    <w:p>
      <w:pPr>
        <w:spacing w:after="0" w:before="0"/>
      </w:pPr>
      <w:r>
        <w:rPr>
          <w:b w:val="0"/>
          <w:sz w:val="22"/>
        </w:rPr>
        <w:t>(b) 4-7 cm</w:t>
      </w:r>
    </w:p>
    <w:p>
      <w:pPr>
        <w:spacing w:after="0" w:before="0"/>
      </w:pPr>
      <w:r>
        <w:rPr>
          <w:b w:val="0"/>
          <w:sz w:val="22"/>
        </w:rPr>
        <w:t>(c) 2-5 cm</w:t>
      </w:r>
    </w:p>
    <w:p>
      <w:pPr>
        <w:spacing w:after="0" w:before="0"/>
      </w:pPr>
      <w:r>
        <w:rPr>
          <w:b w:val="0"/>
          <w:sz w:val="22"/>
        </w:rPr>
        <w:t>(d) 1-3 cm</w:t>
      </w:r>
    </w:p>
    <w:p>
      <w:pPr>
        <w:spacing w:after="0" w:before="40"/>
      </w:pPr>
      <w:r>
        <w:rPr>
          <w:b/>
          <w:sz w:val="22"/>
        </w:rPr>
        <w:t>Answer: b</w:t>
      </w:r>
    </w:p>
    <w:p>
      <w:pPr>
        <w:spacing w:after="0" w:before="0"/>
      </w:pPr>
      <w:r>
        <w:rPr>
          <w:b w:val="0"/>
          <w:sz w:val="21"/>
        </w:rPr>
        <w:t>Solution: During the active phase of the first stage of labor, the cervix begins to dilate more quickly. The nurse assesses the cervical dilation by performing a vaginal examination and measures the cervical opening in centimeters (cm). The nurse documents the cervical dilation as 4-7 cm, as this is the range of cervical dilation expected during the active phase of labor. It is important for the nurse to document the cervical dilation accurately to monitor the progress of labor and determine when it is time to prepare for delivery labor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indicates that a client in labor has entered the SECOND stage of labor?</w:t>
      </w:r>
    </w:p>
    <w:p>
      <w:pPr>
        <w:spacing w:after="0" w:before="0"/>
      </w:pPr>
      <w:r>
        <w:rPr>
          <w:b w:val="0"/>
          <w:sz w:val="22"/>
        </w:rPr>
        <w:t>(a) Onset of regular contractions</w:t>
      </w:r>
    </w:p>
    <w:p>
      <w:pPr>
        <w:spacing w:after="0" w:before="0"/>
      </w:pPr>
      <w:r>
        <w:rPr>
          <w:b w:val="0"/>
          <w:sz w:val="22"/>
        </w:rPr>
        <w:t>(b) Expulsion of the placenta</w:t>
      </w:r>
    </w:p>
    <w:p>
      <w:pPr>
        <w:spacing w:after="0" w:before="0"/>
      </w:pPr>
      <w:r>
        <w:rPr>
          <w:b w:val="0"/>
          <w:sz w:val="22"/>
        </w:rPr>
        <w:t>(c) Complete cervical dilatation (10 cm)</w:t>
      </w:r>
    </w:p>
    <w:p>
      <w:pPr>
        <w:spacing w:after="0" w:before="0"/>
      </w:pPr>
      <w:r>
        <w:rPr>
          <w:b w:val="0"/>
          <w:sz w:val="22"/>
        </w:rPr>
        <w:t>(d) Rupture of the membranes</w:t>
      </w:r>
    </w:p>
    <w:p>
      <w:pPr>
        <w:spacing w:after="0" w:before="40"/>
      </w:pPr>
      <w:r>
        <w:rPr>
          <w:b/>
          <w:sz w:val="22"/>
        </w:rPr>
        <w:t>Answer: c</w:t>
      </w:r>
    </w:p>
    <w:p>
      <w:pPr>
        <w:spacing w:after="0" w:before="0"/>
      </w:pPr>
      <w:r>
        <w:rPr>
          <w:b w:val="0"/>
          <w:sz w:val="21"/>
        </w:rPr>
        <w:t>Solution: The second stage begins with complete cervical dilatation and ends with delivery of the baby; expulsion of the placenta marks the end of the third stage.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an example of age-independent anthropometry:</w:t>
      </w:r>
    </w:p>
    <w:p>
      <w:pPr>
        <w:spacing w:after="0" w:before="0"/>
      </w:pPr>
      <w:r>
        <w:rPr>
          <w:b w:val="0"/>
          <w:sz w:val="22"/>
        </w:rPr>
        <w:t>(a) Head circumference</w:t>
      </w:r>
    </w:p>
    <w:p>
      <w:pPr>
        <w:spacing w:after="0" w:before="0"/>
      </w:pPr>
      <w:r>
        <w:rPr>
          <w:b w:val="0"/>
          <w:sz w:val="22"/>
        </w:rPr>
        <w:t>(b) Weight</w:t>
      </w:r>
    </w:p>
    <w:p>
      <w:pPr>
        <w:spacing w:after="0" w:before="0"/>
      </w:pPr>
      <w:r>
        <w:rPr>
          <w:b w:val="0"/>
          <w:sz w:val="22"/>
        </w:rPr>
        <w:t>(c) MUAC (Mid-Upper Arm Circumference)</w:t>
      </w:r>
    </w:p>
    <w:p>
      <w:pPr>
        <w:spacing w:after="0" w:before="0"/>
      </w:pPr>
      <w:r>
        <w:rPr>
          <w:b w:val="0"/>
          <w:sz w:val="22"/>
        </w:rPr>
        <w:t>(d) Chest circumference</w:t>
      </w:r>
    </w:p>
    <w:p>
      <w:pPr>
        <w:spacing w:after="0" w:before="40"/>
      </w:pPr>
      <w:r>
        <w:rPr>
          <w:b/>
          <w:sz w:val="22"/>
        </w:rPr>
        <w:t>Answer: c</w:t>
      </w:r>
    </w:p>
    <w:p>
      <w:pPr>
        <w:spacing w:after="0" w:before="0"/>
      </w:pPr>
      <w:r>
        <w:rPr>
          <w:b w:val="0"/>
          <w:sz w:val="21"/>
        </w:rPr>
        <w:t>Solution: MUAC (mid-upper arm circumference) is the classic age-independent anthropometric indicator of nutritional status, especially for screening acute malnutrition in children aged 6-59 months.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best method to prevent the spread of infection in the hospital?</w:t>
      </w:r>
    </w:p>
    <w:p>
      <w:pPr>
        <w:spacing w:after="0" w:before="0"/>
      </w:pPr>
      <w:r>
        <w:rPr>
          <w:b w:val="0"/>
          <w:sz w:val="22"/>
        </w:rPr>
        <w:t>(a) Hand washing</w:t>
      </w:r>
    </w:p>
    <w:p>
      <w:pPr>
        <w:spacing w:after="0" w:before="0"/>
      </w:pPr>
      <w:r>
        <w:rPr>
          <w:b w:val="0"/>
          <w:sz w:val="22"/>
        </w:rPr>
        <w:t>(b) Wearing mask and gloves</w:t>
      </w:r>
    </w:p>
    <w:p>
      <w:pPr>
        <w:spacing w:after="0" w:before="0"/>
      </w:pPr>
      <w:r>
        <w:rPr>
          <w:b w:val="0"/>
          <w:sz w:val="22"/>
        </w:rPr>
        <w:t>(c) Management of waste</w:t>
      </w:r>
    </w:p>
    <w:p>
      <w:pPr>
        <w:spacing w:after="0" w:before="0"/>
      </w:pPr>
      <w:r>
        <w:rPr>
          <w:b w:val="0"/>
          <w:sz w:val="22"/>
        </w:rPr>
        <w:t>(d) Do not contact with patient</w:t>
      </w:r>
    </w:p>
    <w:p>
      <w:pPr>
        <w:spacing w:after="0" w:before="40"/>
      </w:pPr>
      <w:r>
        <w:rPr>
          <w:b/>
          <w:sz w:val="22"/>
        </w:rPr>
        <w:t>Answer: a</w:t>
      </w:r>
    </w:p>
    <w:p>
      <w:pPr>
        <w:spacing w:after="0" w:before="0"/>
      </w:pPr>
      <w:r>
        <w:rPr>
          <w:b w:val="0"/>
          <w:sz w:val="21"/>
        </w:rPr>
        <w:t>Solution: - Hand washing is one of the most important and effective methods of preventing infection in the hospital. Healthcare workers can come into contact with a wide range of microorganisms, including bacteria, viruses, and fungi, that can cause infections in patients or themselves. By washing their hands regularly and correctly, healthcare workers can reduce the spread of these microorganisms and prevent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nutrient is found in an average-sized egg?</w:t>
      </w:r>
    </w:p>
    <w:p>
      <w:pPr>
        <w:spacing w:after="0" w:before="0"/>
      </w:pPr>
      <w:r>
        <w:rPr>
          <w:b w:val="0"/>
          <w:sz w:val="22"/>
        </w:rPr>
        <w:t>(a) 6 gm Protein</w:t>
      </w:r>
    </w:p>
    <w:p>
      <w:pPr>
        <w:spacing w:after="0" w:before="0"/>
      </w:pPr>
      <w:r>
        <w:rPr>
          <w:b w:val="0"/>
          <w:sz w:val="22"/>
        </w:rPr>
        <w:t>(b) 25 gm Iron</w:t>
      </w:r>
    </w:p>
    <w:p>
      <w:pPr>
        <w:spacing w:after="0" w:before="0"/>
      </w:pPr>
      <w:r>
        <w:rPr>
          <w:b w:val="0"/>
          <w:sz w:val="22"/>
        </w:rPr>
        <w:t>(c) 6 gm Fat</w:t>
      </w:r>
    </w:p>
    <w:p>
      <w:pPr>
        <w:spacing w:after="0" w:before="0"/>
      </w:pPr>
      <w:r>
        <w:rPr>
          <w:b w:val="0"/>
          <w:sz w:val="22"/>
        </w:rPr>
        <w:t>(d) 80gm Vitamin C</w:t>
      </w:r>
    </w:p>
    <w:p>
      <w:pPr>
        <w:spacing w:after="0" w:before="40"/>
      </w:pPr>
      <w:r>
        <w:rPr>
          <w:b/>
          <w:sz w:val="22"/>
        </w:rPr>
        <w:t>Answer: a</w:t>
      </w:r>
    </w:p>
    <w:p>
      <w:pPr>
        <w:spacing w:after="0" w:before="0"/>
      </w:pPr>
      <w:r>
        <w:rPr>
          <w:b w:val="0"/>
          <w:sz w:val="21"/>
        </w:rPr>
        <w:t>Solution: An average-sized egg contains approximately 6 grams of protein (option B). Eggs are a good source of high-quality protein and are often considered a complete protein because they contain all the essential amino acids in the right proportions. While eggs do contain some fat, the amount varies depending on the size of the egg and the specific yolk-to-white ratio. The diseases carriers (common Hies wat mosquito) Protein vitamin content of an egg, including Vitamin C, is relatively low compared to other nutrients. However, eggs are a good source of several vitamins, including Vitamin A, Vitamin D, Vitamin E, and various B vitamins.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observes a client with dementia wandering toward the exit door. What is the BEST intervention?</w:t>
      </w:r>
    </w:p>
    <w:p>
      <w:pPr>
        <w:spacing w:after="0" w:before="0"/>
      </w:pPr>
      <w:r>
        <w:rPr>
          <w:b w:val="0"/>
          <w:sz w:val="22"/>
        </w:rPr>
        <w:t>(a) Lock the door in front of the client</w:t>
      </w:r>
    </w:p>
    <w:p>
      <w:pPr>
        <w:spacing w:after="0" w:before="0"/>
      </w:pPr>
      <w:r>
        <w:rPr>
          <w:b w:val="0"/>
          <w:sz w:val="22"/>
        </w:rPr>
        <w:t>(b) Tell the client firmly to return to the room</w:t>
      </w:r>
    </w:p>
    <w:p>
      <w:pPr>
        <w:spacing w:after="0" w:before="0"/>
      </w:pPr>
      <w:r>
        <w:rPr>
          <w:b w:val="0"/>
          <w:sz w:val="22"/>
        </w:rPr>
        <w:t>(c) Redirect the client to a safe, structured activity</w:t>
      </w:r>
    </w:p>
    <w:p>
      <w:pPr>
        <w:spacing w:after="0" w:before="0"/>
      </w:pPr>
      <w:r>
        <w:rPr>
          <w:b w:val="0"/>
          <w:sz w:val="22"/>
        </w:rPr>
        <w:t>(d) Apply a physical restraint</w:t>
      </w:r>
    </w:p>
    <w:p>
      <w:pPr>
        <w:spacing w:after="0" w:before="40"/>
      </w:pPr>
      <w:r>
        <w:rPr>
          <w:b/>
          <w:sz w:val="22"/>
        </w:rPr>
        <w:t>Answer: c</w:t>
      </w:r>
    </w:p>
    <w:p>
      <w:pPr>
        <w:spacing w:after="0" w:before="0"/>
      </w:pPr>
      <w:r>
        <w:rPr>
          <w:b w:val="0"/>
          <w:sz w:val="21"/>
        </w:rPr>
        <w:t>Solution: Redirection to a familiar, structured activity is the safest, least restrictive approach for wandering; locks and restraints are used only as a last resort.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Initial burn wound debridement</w:t>
      </w:r>
    </w:p>
    <w:p>
      <w:pPr>
        <w:spacing w:after="0" w:before="0"/>
      </w:pPr>
      <w:r>
        <w:rPr>
          <w:b w:val="0"/>
          <w:sz w:val="22"/>
        </w:rPr>
        <w:t>(b) High-calorie nutritional support</w:t>
      </w:r>
    </w:p>
    <w:p>
      <w:pPr>
        <w:spacing w:after="0" w:before="0"/>
      </w:pPr>
      <w:r>
        <w:rPr>
          <w:b w:val="0"/>
          <w:sz w:val="22"/>
        </w:rPr>
        <w:t>(c) Airway assessment and fluid resuscitation</w:t>
      </w:r>
    </w:p>
    <w:p>
      <w:pPr>
        <w:spacing w:after="0" w:before="0"/>
      </w:pPr>
      <w:r>
        <w:rPr>
          <w:b w:val="0"/>
          <w:sz w:val="22"/>
        </w:rPr>
        <w:t>(d) Frequent dressing changes</w:t>
      </w:r>
    </w:p>
    <w:p>
      <w:pPr>
        <w:spacing w:after="0" w:before="40"/>
      </w:pPr>
      <w:r>
        <w:rPr>
          <w:b/>
          <w:sz w:val="22"/>
        </w:rPr>
        <w:t>Answer: c</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Hypovolemic shock</w:t>
      </w:r>
    </w:p>
    <w:p>
      <w:pPr>
        <w:spacing w:after="0" w:before="0"/>
      </w:pPr>
      <w:r>
        <w:rPr>
          <w:b w:val="0"/>
          <w:sz w:val="22"/>
        </w:rPr>
        <w:t>(b) Fat embolism syndrome</w:t>
      </w:r>
    </w:p>
    <w:p>
      <w:pPr>
        <w:spacing w:after="0" w:before="0"/>
      </w:pPr>
      <w:r>
        <w:rPr>
          <w:b w:val="0"/>
          <w:sz w:val="22"/>
        </w:rPr>
        <w:t>(c) Pneumothorax</w:t>
      </w:r>
    </w:p>
    <w:p>
      <w:pPr>
        <w:spacing w:after="0" w:before="0"/>
      </w:pPr>
      <w:r>
        <w:rPr>
          <w:b w:val="0"/>
          <w:sz w:val="22"/>
        </w:rPr>
        <w:t>(d) Pulmonary embolism</w:t>
      </w:r>
    </w:p>
    <w:p>
      <w:pPr>
        <w:spacing w:after="0" w:before="40"/>
      </w:pPr>
      <w:r>
        <w:rPr>
          <w:b/>
          <w:sz w:val="22"/>
        </w:rPr>
        <w:t>Answer: b</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assessment of acute malnutrition in childern is</w:t>
      </w:r>
    </w:p>
    <w:p>
      <w:pPr>
        <w:spacing w:after="0" w:before="0"/>
      </w:pPr>
      <w:r>
        <w:rPr>
          <w:b w:val="0"/>
          <w:sz w:val="22"/>
        </w:rPr>
        <w:t>(a) Weight</w:t>
      </w:r>
    </w:p>
    <w:p>
      <w:pPr>
        <w:spacing w:after="0" w:before="0"/>
      </w:pPr>
      <w:r>
        <w:rPr>
          <w:b w:val="0"/>
          <w:sz w:val="22"/>
        </w:rPr>
        <w:t>(b) Weight for Height</w:t>
      </w:r>
    </w:p>
    <w:p>
      <w:pPr>
        <w:spacing w:after="0" w:before="0"/>
      </w:pPr>
      <w:r>
        <w:rPr>
          <w:b w:val="0"/>
          <w:sz w:val="22"/>
        </w:rPr>
        <w:t>(c) BMI</w:t>
      </w:r>
    </w:p>
    <w:p>
      <w:pPr>
        <w:spacing w:after="0" w:before="0"/>
      </w:pPr>
      <w:r>
        <w:rPr>
          <w:b w:val="0"/>
          <w:sz w:val="22"/>
        </w:rPr>
        <w:t>(d) Height</w:t>
      </w:r>
    </w:p>
    <w:p>
      <w:pPr>
        <w:spacing w:after="0" w:before="40"/>
      </w:pPr>
      <w:r>
        <w:rPr>
          <w:b/>
          <w:sz w:val="22"/>
        </w:rPr>
        <w:t>Answer: b</w:t>
      </w:r>
    </w:p>
    <w:p>
      <w:pPr>
        <w:spacing w:after="0" w:before="0"/>
      </w:pPr>
      <w:r>
        <w:rPr>
          <w:b w:val="0"/>
          <w:sz w:val="21"/>
        </w:rPr>
        <w:t>Solution: The assessment of acute malnutrition in children is commonly done using weight for height measurements. Acute malnutrition refers to the rapid onset of nutritional deficiency and is characterized by wasting or a significant decrease in body weight. Weight for height is a commonly used anthropometric index to assess acute malnutrition in children. It compares the child's weight to their height and provides an indication of their nutritional status. Various growth charts, such as the World Health Organization (WHO) growth standards or Centers for Disease Control and Prevention (CDC) growth charts, can be used to determine the appropriate weight-for-height percentile and identify malnourished children who may require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an X-linked dominant disorder?</w:t>
      </w:r>
    </w:p>
    <w:p>
      <w:pPr>
        <w:spacing w:after="0" w:before="0"/>
      </w:pPr>
      <w:r>
        <w:rPr>
          <w:b w:val="0"/>
          <w:sz w:val="22"/>
        </w:rPr>
        <w:t>(a) Colour blindness</w:t>
      </w:r>
    </w:p>
    <w:p>
      <w:pPr>
        <w:spacing w:after="0" w:before="0"/>
      </w:pPr>
      <w:r>
        <w:rPr>
          <w:b w:val="0"/>
          <w:sz w:val="22"/>
        </w:rPr>
        <w:t>(b) Vitamin D-resistant rickets</w:t>
      </w:r>
    </w:p>
    <w:p>
      <w:pPr>
        <w:spacing w:after="0" w:before="0"/>
      </w:pPr>
      <w:r>
        <w:rPr>
          <w:b w:val="0"/>
          <w:sz w:val="22"/>
        </w:rPr>
        <w:t>(c) Duchenne muscular dystrophy</w:t>
      </w:r>
    </w:p>
    <w:p>
      <w:pPr>
        <w:spacing w:after="0" w:before="0"/>
      </w:pPr>
      <w:r>
        <w:rPr>
          <w:b w:val="0"/>
          <w:sz w:val="22"/>
        </w:rPr>
        <w:t>(d) Haemophilia</w:t>
      </w:r>
    </w:p>
    <w:p>
      <w:pPr>
        <w:spacing w:after="0" w:before="40"/>
      </w:pPr>
      <w:r>
        <w:rPr>
          <w:b/>
          <w:sz w:val="22"/>
        </w:rPr>
        <w:t>Answer: b</w:t>
      </w:r>
    </w:p>
    <w:p>
      <w:pPr>
        <w:spacing w:after="0" w:before="0"/>
      </w:pPr>
      <w:r>
        <w:rPr>
          <w:b w:val="0"/>
          <w:sz w:val="21"/>
        </w:rPr>
        <w:t>Solution: X-linked dominant disorders (e.g., vitamin D-resistant rickets) affect both sexes and an affected male transmits the trait to all daughters but to no sons; haemophilia, colour blindness and DMD are X-linked recessive.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Your finding emulcificaiton of fat in TPN bag. As a nurse what is your immediate action?</w:t>
      </w:r>
    </w:p>
    <w:p>
      <w:pPr>
        <w:spacing w:after="0" w:before="0"/>
      </w:pPr>
      <w:r>
        <w:rPr>
          <w:b w:val="0"/>
          <w:sz w:val="22"/>
        </w:rPr>
        <w:t>(a) Rubing the bag</w:t>
      </w:r>
    </w:p>
    <w:p>
      <w:pPr>
        <w:spacing w:after="0" w:before="0"/>
      </w:pPr>
      <w:r>
        <w:rPr>
          <w:b w:val="0"/>
          <w:sz w:val="22"/>
        </w:rPr>
        <w:t>(b) Administer fast</w:t>
      </w:r>
    </w:p>
    <w:p>
      <w:pPr>
        <w:spacing w:after="0" w:before="0"/>
      </w:pPr>
      <w:r>
        <w:rPr>
          <w:b w:val="0"/>
          <w:sz w:val="22"/>
        </w:rPr>
        <w:t>(c) Nothing to do</w:t>
      </w:r>
    </w:p>
    <w:p>
      <w:pPr>
        <w:spacing w:after="0" w:before="0"/>
      </w:pPr>
      <w:r>
        <w:rPr>
          <w:b w:val="0"/>
          <w:sz w:val="22"/>
        </w:rPr>
        <w:t>(d) Change the new bag</w:t>
      </w:r>
    </w:p>
    <w:p>
      <w:pPr>
        <w:spacing w:after="0" w:before="40"/>
      </w:pPr>
      <w:r>
        <w:rPr>
          <w:b/>
          <w:sz w:val="22"/>
        </w:rPr>
        <w:t>Answer: d</w:t>
      </w:r>
    </w:p>
    <w:p>
      <w:pPr>
        <w:spacing w:after="0" w:before="0"/>
      </w:pPr>
      <w:r>
        <w:rPr>
          <w:b w:val="0"/>
          <w:sz w:val="21"/>
        </w:rPr>
        <w:t>Solution: Emulsification (separation) of fat in a TPN bag indicates instability of the solution; the bag must be discarded and replaced.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Pupils unequal and sluggish to react</w:t>
      </w:r>
    </w:p>
    <w:p>
      <w:pPr>
        <w:spacing w:after="0" w:before="0"/>
      </w:pPr>
      <w:r>
        <w:rPr>
          <w:b w:val="0"/>
          <w:sz w:val="22"/>
        </w:rPr>
        <w:t>(b) Right-sided hemiparesis</w:t>
      </w:r>
    </w:p>
    <w:p>
      <w:pPr>
        <w:spacing w:after="0" w:before="0"/>
      </w:pPr>
      <w:r>
        <w:rPr>
          <w:b w:val="0"/>
          <w:sz w:val="22"/>
        </w:rPr>
        <w:t>(c) Mild expressive aphasia</w:t>
      </w:r>
    </w:p>
    <w:p>
      <w:pPr>
        <w:spacing w:after="0" w:before="0"/>
      </w:pPr>
      <w:r>
        <w:rPr>
          <w:b w:val="0"/>
          <w:sz w:val="22"/>
        </w:rPr>
        <w:t>(d) Blood pressure 150/90 mm Hg</w:t>
      </w:r>
    </w:p>
    <w:p>
      <w:pPr>
        <w:spacing w:after="0" w:before="40"/>
      </w:pPr>
      <w:r>
        <w:rPr>
          <w:b/>
          <w:sz w:val="22"/>
        </w:rPr>
        <w:t>Answer: a</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of this is seen in anorexia nervosa except</w:t>
      </w:r>
    </w:p>
    <w:p>
      <w:pPr>
        <w:spacing w:after="0" w:before="0"/>
      </w:pPr>
      <w:r>
        <w:rPr>
          <w:b w:val="0"/>
          <w:sz w:val="22"/>
        </w:rPr>
        <w:t>(a) Osteoporosis</w:t>
      </w:r>
    </w:p>
    <w:p>
      <w:pPr>
        <w:spacing w:after="0" w:before="0"/>
      </w:pPr>
      <w:r>
        <w:rPr>
          <w:b w:val="0"/>
          <w:sz w:val="22"/>
        </w:rPr>
        <w:t>(b) Menorrhagia</w:t>
      </w:r>
    </w:p>
    <w:p>
      <w:pPr>
        <w:spacing w:after="0" w:before="0"/>
      </w:pPr>
      <w:r>
        <w:rPr>
          <w:b w:val="0"/>
          <w:sz w:val="22"/>
        </w:rPr>
        <w:t>(c) Myocardial hypertrophy</w:t>
      </w:r>
    </w:p>
    <w:p>
      <w:pPr>
        <w:spacing w:after="0" w:before="0"/>
      </w:pPr>
      <w:r>
        <w:rPr>
          <w:b w:val="0"/>
          <w:sz w:val="22"/>
        </w:rPr>
        <w:t>(d) Electrolyte imbalance</w:t>
      </w:r>
    </w:p>
    <w:p>
      <w:pPr>
        <w:spacing w:after="0" w:before="40"/>
      </w:pPr>
      <w:r>
        <w:rPr>
          <w:b/>
          <w:sz w:val="22"/>
        </w:rPr>
        <w:t>Answer: b</w:t>
      </w:r>
    </w:p>
    <w:p>
      <w:pPr>
        <w:spacing w:after="0" w:before="0"/>
      </w:pPr>
      <w:r>
        <w:rPr>
          <w:b w:val="0"/>
          <w:sz w:val="21"/>
        </w:rPr>
        <w:t>Solution: Anorexia nervosa causes osteoporosis, electrolyte imbalance and amenorrhoea (not menorrhagia); menstruation is usually scanty or absent.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vector-borne disease?</w:t>
      </w:r>
    </w:p>
    <w:p>
      <w:pPr>
        <w:spacing w:after="0" w:before="0"/>
      </w:pPr>
      <w:r>
        <w:rPr>
          <w:b w:val="0"/>
          <w:sz w:val="22"/>
        </w:rPr>
        <w:t>(a) Dengue</w:t>
      </w:r>
    </w:p>
    <w:p>
      <w:pPr>
        <w:spacing w:after="0" w:before="0"/>
      </w:pPr>
      <w:r>
        <w:rPr>
          <w:b w:val="0"/>
          <w:sz w:val="22"/>
        </w:rPr>
        <w:t>(b) Tuberculosis</w:t>
      </w:r>
    </w:p>
    <w:p>
      <w:pPr>
        <w:spacing w:after="0" w:before="0"/>
      </w:pPr>
      <w:r>
        <w:rPr>
          <w:b w:val="0"/>
          <w:sz w:val="22"/>
        </w:rPr>
        <w:t>(c) Cholera</w:t>
      </w:r>
    </w:p>
    <w:p>
      <w:pPr>
        <w:spacing w:after="0" w:before="0"/>
      </w:pPr>
      <w:r>
        <w:rPr>
          <w:b w:val="0"/>
          <w:sz w:val="22"/>
        </w:rPr>
        <w:t>(d) Hepatitis A</w:t>
      </w:r>
    </w:p>
    <w:p>
      <w:pPr>
        <w:spacing w:after="0" w:before="40"/>
      </w:pPr>
      <w:r>
        <w:rPr>
          <w:b/>
          <w:sz w:val="22"/>
        </w:rPr>
        <w:t>Answer: a</w:t>
      </w:r>
    </w:p>
    <w:p>
      <w:pPr>
        <w:spacing w:after="0" w:before="0"/>
      </w:pPr>
      <w:r>
        <w:rPr>
          <w:b w:val="0"/>
          <w:sz w:val="21"/>
        </w:rPr>
        <w:t>Solution: Dengue is transmitted by the Aedes aegypti mosquito, making it a vector-borne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taking digoxin reports nausea, vomiting and seeing yellow-green halos around lights. What should the nurse do FIRST?</w:t>
      </w:r>
    </w:p>
    <w:p>
      <w:pPr>
        <w:spacing w:after="0" w:before="0"/>
      </w:pPr>
      <w:r>
        <w:rPr>
          <w:b w:val="0"/>
          <w:sz w:val="22"/>
        </w:rPr>
        <w:t>(a) Document the findings as expected side effects</w:t>
      </w:r>
    </w:p>
    <w:p>
      <w:pPr>
        <w:spacing w:after="0" w:before="0"/>
      </w:pPr>
      <w:r>
        <w:rPr>
          <w:b w:val="0"/>
          <w:sz w:val="22"/>
        </w:rPr>
        <w:t>(b) Hold the digoxin and notify the health care provider</w:t>
      </w:r>
    </w:p>
    <w:p>
      <w:pPr>
        <w:spacing w:after="0" w:before="0"/>
      </w:pPr>
      <w:r>
        <w:rPr>
          <w:b w:val="0"/>
          <w:sz w:val="22"/>
        </w:rPr>
        <w:t>(c) Check the digoxin level and give the dose</w:t>
      </w:r>
    </w:p>
    <w:p>
      <w:pPr>
        <w:spacing w:after="0" w:before="0"/>
      </w:pPr>
      <w:r>
        <w:rPr>
          <w:b w:val="0"/>
          <w:sz w:val="22"/>
        </w:rPr>
        <w:t>(d) Give the digoxin with food</w:t>
      </w:r>
    </w:p>
    <w:p>
      <w:pPr>
        <w:spacing w:after="0" w:before="40"/>
      </w:pPr>
      <w:r>
        <w:rPr>
          <w:b/>
          <w:sz w:val="22"/>
        </w:rPr>
        <w:t>Answer: b</w:t>
      </w:r>
    </w:p>
    <w:p>
      <w:pPr>
        <w:spacing w:after="0" w:before="0"/>
      </w:pPr>
      <w:r>
        <w:rPr>
          <w:b w:val="0"/>
          <w:sz w:val="21"/>
        </w:rPr>
        <w:t>Solution: Nausea, vomiting and visual halos are classic digoxin toxicity; the drug is withheld and the provider notified (digoxin level and potassium are then checked).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absolute contraindication for liver biopsy in children? Live Biopsy in children</w:t>
      </w:r>
    </w:p>
    <w:p>
      <w:pPr>
        <w:spacing w:after="0" w:before="0"/>
      </w:pPr>
      <w:r>
        <w:rPr>
          <w:b w:val="0"/>
          <w:sz w:val="22"/>
        </w:rPr>
        <w:t>(a) Coagulopathy</w:t>
      </w:r>
    </w:p>
    <w:p>
      <w:pPr>
        <w:spacing w:after="0" w:before="0"/>
      </w:pPr>
      <w:r>
        <w:rPr>
          <w:b w:val="0"/>
          <w:sz w:val="22"/>
        </w:rPr>
        <w:t>(b) Tumour in liver</w:t>
      </w:r>
    </w:p>
    <w:p>
      <w:pPr>
        <w:spacing w:after="0" w:before="0"/>
      </w:pPr>
      <w:r>
        <w:rPr>
          <w:b w:val="0"/>
          <w:sz w:val="22"/>
        </w:rPr>
        <w:t>(c) Pneumothorax</w:t>
      </w:r>
    </w:p>
    <w:p>
      <w:pPr>
        <w:spacing w:after="0" w:before="0"/>
      </w:pPr>
      <w:r>
        <w:rPr>
          <w:b w:val="0"/>
          <w:sz w:val="22"/>
        </w:rPr>
        <w:t>(d) Bleeding</w:t>
      </w:r>
    </w:p>
    <w:p>
      <w:pPr>
        <w:spacing w:after="0" w:before="40"/>
      </w:pPr>
      <w:r>
        <w:rPr>
          <w:b/>
          <w:sz w:val="22"/>
        </w:rPr>
        <w:t>Answer: a</w:t>
      </w:r>
    </w:p>
    <w:p>
      <w:pPr>
        <w:spacing w:after="0" w:before="0"/>
      </w:pPr>
      <w:r>
        <w:rPr>
          <w:b w:val="0"/>
          <w:sz w:val="21"/>
        </w:rPr>
        <w:t>Solution: Liver biopsy is a relatively safe procedure, but certain conditions may increase the risk of complications. Absolute contraindications for liver biopsy in children include severe coagulopathy, uncontrolled bleeding disorders, and suspected malignant lesions with a high risk of needle tract seeding. Before performing the procedure, it is essential to evaluate the patient's medical history, coagulation profile, and imaging findings to determine the risk-benefit ratio.</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