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0" w:before="120"/>
      </w:pPr>
      <w:r>
        <w:rPr>
          <w:b/>
          <w:sz w:val="22"/>
        </w:rPr>
        <w:t>Question: What is the initial nursing intervention for a patient who experiences breathing difficulties during a blood transfusion?</w:t>
      </w:r>
    </w:p>
    <w:p>
      <w:pPr>
        <w:spacing w:after="0" w:before="0"/>
      </w:pPr>
      <w:r>
        <w:rPr>
          <w:b w:val="0"/>
          <w:sz w:val="22"/>
        </w:rPr>
        <w:t>(a) Continue blood transfusion and give DOC calcium</w:t>
      </w:r>
    </w:p>
    <w:p>
      <w:pPr>
        <w:spacing w:after="0" w:before="0"/>
      </w:pPr>
      <w:r>
        <w:rPr>
          <w:b w:val="0"/>
          <w:sz w:val="22"/>
        </w:rPr>
        <w:t>(b) Continue blood transfusion and give adrenaline</w:t>
      </w:r>
    </w:p>
    <w:p>
      <w:pPr>
        <w:spacing w:after="0" w:before="0"/>
      </w:pPr>
      <w:r>
        <w:rPr>
          <w:b w:val="0"/>
          <w:sz w:val="22"/>
        </w:rPr>
        <w:t>(c) Stop blood transfusion and administer hydrocortisone</w:t>
      </w:r>
    </w:p>
    <w:p>
      <w:pPr>
        <w:spacing w:after="0" w:before="0"/>
      </w:pPr>
      <w:r>
        <w:rPr>
          <w:b w:val="0"/>
          <w:sz w:val="22"/>
        </w:rPr>
        <w:t>(d) Stop the infusion and Inform to the doctor</w:t>
      </w:r>
    </w:p>
    <w:p>
      <w:pPr>
        <w:spacing w:after="0" w:before="40"/>
      </w:pPr>
      <w:r>
        <w:rPr>
          <w:b/>
          <w:sz w:val="22"/>
        </w:rPr>
        <w:t>Answer: d</w:t>
      </w:r>
    </w:p>
    <w:p>
      <w:pPr>
        <w:spacing w:after="0" w:before="0"/>
      </w:pPr>
      <w:r>
        <w:rPr>
          <w:b w:val="0"/>
          <w:sz w:val="21"/>
        </w:rPr>
        <w:t>Solution: The priority nursing intervention for a patient with breathing difficulties during a blood transfusion is to stop the infusion immediately and inform the physician. This may indicate a transfusion reaction, such as transfusion-associated circulatory overload (TACO) or transfusion-related acute lung injury (TRALI), which requires prompt medical attention. Nurses should also closely monitor the patient's vital signs, maintain a patent airway, and administer supplemental oxygen as necessary.</w:t>
      </w:r>
    </w:p>
    <w:p>
      <w:pPr>
        <w:spacing w:after="0" w:before="0"/>
      </w:pPr>
      <w:r>
        <w:rPr>
          <w:b w:val="0"/>
          <w:sz w:val="20"/>
        </w:rPr>
        <w:t>Positive Marks: 1</w:t>
      </w:r>
    </w:p>
    <w:p>
      <w:pPr>
        <w:spacing w:after="160" w:before="0"/>
      </w:pPr>
      <w:r>
        <w:rPr>
          <w:b w:val="0"/>
          <w:sz w:val="20"/>
        </w:rPr>
        <w:t>Negative Marks: 0.25</w:t>
      </w:r>
    </w:p>
    <w:p>
      <w:pPr>
        <w:spacing w:after="20" w:before="120"/>
      </w:pPr>
      <w:r>
        <w:rPr>
          <w:b/>
          <w:sz w:val="22"/>
        </w:rPr>
        <w:t>Question: Which action demonstrates correct body mechanics when lifting a heavy object from the floor?</w:t>
      </w:r>
    </w:p>
    <w:p>
      <w:pPr>
        <w:spacing w:after="0" w:before="0"/>
      </w:pPr>
      <w:r>
        <w:rPr>
          <w:b w:val="0"/>
          <w:sz w:val="22"/>
        </w:rPr>
        <w:t>(a) Keep the object close to the body and lift with the legs</w:t>
      </w:r>
    </w:p>
    <w:p>
      <w:pPr>
        <w:spacing w:after="0" w:before="0"/>
      </w:pPr>
      <w:r>
        <w:rPr>
          <w:b w:val="0"/>
          <w:sz w:val="22"/>
        </w:rPr>
        <w:t>(b) Twist the trunk while lifting</w:t>
      </w:r>
    </w:p>
    <w:p>
      <w:pPr>
        <w:spacing w:after="0" w:before="0"/>
      </w:pPr>
      <w:r>
        <w:rPr>
          <w:b w:val="0"/>
          <w:sz w:val="22"/>
        </w:rPr>
        <w:t>(c) Bend forward at the waist</w:t>
      </w:r>
    </w:p>
    <w:p>
      <w:pPr>
        <w:spacing w:after="0" w:before="0"/>
      </w:pPr>
      <w:r>
        <w:rPr>
          <w:b w:val="0"/>
          <w:sz w:val="22"/>
        </w:rPr>
        <w:t>(d) Lift with the back muscles using a quick jerk</w:t>
      </w:r>
    </w:p>
    <w:p>
      <w:pPr>
        <w:spacing w:after="0" w:before="40"/>
      </w:pPr>
      <w:r>
        <w:rPr>
          <w:b/>
          <w:sz w:val="22"/>
        </w:rPr>
        <w:t>Answer: a</w:t>
      </w:r>
    </w:p>
    <w:p>
      <w:pPr>
        <w:spacing w:after="0" w:before="0"/>
      </w:pPr>
      <w:r>
        <w:rPr>
          <w:b w:val="0"/>
          <w:sz w:val="21"/>
        </w:rPr>
        <w:t>Solution: The object is held close to the center of gravity and the lift is powered by the large leg muscles with a wide base of support, protecting the back.</w:t>
      </w:r>
    </w:p>
    <w:p>
      <w:pPr>
        <w:spacing w:after="0" w:before="0"/>
      </w:pPr>
      <w:r>
        <w:rPr>
          <w:b w:val="0"/>
          <w:sz w:val="20"/>
        </w:rPr>
        <w:t>Positive Marks: 1</w:t>
      </w:r>
    </w:p>
    <w:p>
      <w:pPr>
        <w:spacing w:after="160" w:before="0"/>
      </w:pPr>
      <w:r>
        <w:rPr>
          <w:b w:val="0"/>
          <w:sz w:val="20"/>
        </w:rPr>
        <w:t>Negative Marks: 0.25</w:t>
      </w:r>
    </w:p>
    <w:p>
      <w:pPr>
        <w:spacing w:after="20" w:before="120"/>
      </w:pPr>
      <w:r>
        <w:rPr>
          <w:b/>
          <w:sz w:val="22"/>
        </w:rPr>
        <w:t>Question: Which is the EARLIEST sign of respiratory distress in an infant?</w:t>
      </w:r>
    </w:p>
    <w:p>
      <w:pPr>
        <w:spacing w:after="0" w:before="0"/>
      </w:pPr>
      <w:r>
        <w:rPr>
          <w:b w:val="0"/>
          <w:sz w:val="22"/>
        </w:rPr>
        <w:t>(a) Cyanosis</w:t>
      </w:r>
    </w:p>
    <w:p>
      <w:pPr>
        <w:spacing w:after="0" w:before="0"/>
      </w:pPr>
      <w:r>
        <w:rPr>
          <w:b w:val="0"/>
          <w:sz w:val="22"/>
        </w:rPr>
        <w:t>(b) Gasping respirations</w:t>
      </w:r>
    </w:p>
    <w:p>
      <w:pPr>
        <w:spacing w:after="0" w:before="0"/>
      </w:pPr>
      <w:r>
        <w:rPr>
          <w:b w:val="0"/>
          <w:sz w:val="22"/>
        </w:rPr>
        <w:t>(c) Bradycardia</w:t>
      </w:r>
    </w:p>
    <w:p>
      <w:pPr>
        <w:spacing w:after="0" w:before="0"/>
      </w:pPr>
      <w:r>
        <w:rPr>
          <w:b w:val="0"/>
          <w:sz w:val="22"/>
        </w:rPr>
        <w:t>(d) Nasal flaring</w:t>
      </w:r>
    </w:p>
    <w:p>
      <w:pPr>
        <w:spacing w:after="0" w:before="40"/>
      </w:pPr>
      <w:r>
        <w:rPr>
          <w:b/>
          <w:sz w:val="22"/>
        </w:rPr>
        <w:t>Answer: d</w:t>
      </w:r>
    </w:p>
    <w:p>
      <w:pPr>
        <w:spacing w:after="0" w:before="0"/>
      </w:pPr>
      <w:r>
        <w:rPr>
          <w:b w:val="0"/>
          <w:sz w:val="21"/>
        </w:rPr>
        <w:t>Solution: Nasal flaring, grunting, retractions and tachypnea appear early; cyanosis and bradycardia are late, pre-arrest signs.</w:t>
      </w:r>
    </w:p>
    <w:p>
      <w:pPr>
        <w:spacing w:after="0" w:before="0"/>
      </w:pPr>
      <w:r>
        <w:rPr>
          <w:b w:val="0"/>
          <w:sz w:val="20"/>
        </w:rPr>
        <w:t>Positive Marks: 1</w:t>
      </w:r>
    </w:p>
    <w:p>
      <w:pPr>
        <w:spacing w:after="160" w:before="0"/>
      </w:pPr>
      <w:r>
        <w:rPr>
          <w:b w:val="0"/>
          <w:sz w:val="20"/>
        </w:rPr>
        <w:t>Negative Marks: 0.25</w:t>
      </w:r>
    </w:p>
    <w:p>
      <w:pPr>
        <w:spacing w:after="20" w:before="120"/>
      </w:pPr>
      <w:r>
        <w:rPr>
          <w:b/>
          <w:sz w:val="22"/>
        </w:rPr>
        <w:t>Question: The most appropriate nursing intervention for a patient with epistaxis is:</w:t>
      </w:r>
    </w:p>
    <w:p>
      <w:pPr>
        <w:spacing w:after="0" w:before="0"/>
      </w:pPr>
      <w:r>
        <w:rPr>
          <w:b w:val="0"/>
          <w:sz w:val="22"/>
        </w:rPr>
        <w:t>(a) Pinch the nostrils and lean forward</w:t>
      </w:r>
    </w:p>
    <w:p>
      <w:pPr>
        <w:spacing w:after="0" w:before="0"/>
      </w:pPr>
      <w:r>
        <w:rPr>
          <w:b w:val="0"/>
          <w:sz w:val="22"/>
        </w:rPr>
        <w:t>(b) Insert a cotton plug in the ear</w:t>
      </w:r>
    </w:p>
    <w:p>
      <w:pPr>
        <w:spacing w:after="0" w:before="0"/>
      </w:pPr>
      <w:r>
        <w:rPr>
          <w:b w:val="0"/>
          <w:sz w:val="22"/>
        </w:rPr>
        <w:t>(c) Apply cold pack to the feet</w:t>
      </w:r>
    </w:p>
    <w:p>
      <w:pPr>
        <w:spacing w:after="0" w:before="0"/>
      </w:pPr>
      <w:r>
        <w:rPr>
          <w:b w:val="0"/>
          <w:sz w:val="22"/>
        </w:rPr>
        <w:t>(d) Tilt the head backwards</w:t>
      </w:r>
    </w:p>
    <w:p>
      <w:pPr>
        <w:spacing w:after="0" w:before="40"/>
      </w:pPr>
      <w:r>
        <w:rPr>
          <w:b/>
          <w:sz w:val="22"/>
        </w:rPr>
        <w:t>Answer: a</w:t>
      </w:r>
    </w:p>
    <w:p>
      <w:pPr>
        <w:spacing w:after="0" w:before="0"/>
      </w:pPr>
      <w:r>
        <w:rPr>
          <w:b w:val="0"/>
          <w:sz w:val="21"/>
        </w:rPr>
        <w:t>Solution: For epistaxis, pinch the soft part of the nostrils, lean forward and breathe through the mouth; do not tilt the head back.</w:t>
      </w:r>
    </w:p>
    <w:p>
      <w:pPr>
        <w:spacing w:after="0" w:before="0"/>
      </w:pPr>
      <w:r>
        <w:rPr>
          <w:b w:val="0"/>
          <w:sz w:val="20"/>
        </w:rPr>
        <w:t>Positive Marks: 1</w:t>
      </w:r>
    </w:p>
    <w:p>
      <w:pPr>
        <w:spacing w:after="160" w:before="0"/>
      </w:pPr>
      <w:r>
        <w:rPr>
          <w:b w:val="0"/>
          <w:sz w:val="20"/>
        </w:rPr>
        <w:t>Negative Marks: 0.25</w:t>
      </w:r>
    </w:p>
    <w:p>
      <w:pPr>
        <w:spacing w:after="20" w:before="120"/>
      </w:pPr>
      <w:r>
        <w:rPr>
          <w:b/>
          <w:sz w:val="22"/>
        </w:rPr>
        <w:t>Question: Incubation period is measured by which central tendency?</w:t>
      </w:r>
    </w:p>
    <w:p>
      <w:pPr>
        <w:spacing w:after="0" w:before="0"/>
      </w:pPr>
      <w:r>
        <w:rPr>
          <w:b w:val="0"/>
          <w:sz w:val="22"/>
        </w:rPr>
        <w:t>(a) Mean</w:t>
      </w:r>
    </w:p>
    <w:p>
      <w:pPr>
        <w:spacing w:after="0" w:before="0"/>
      </w:pPr>
      <w:r>
        <w:rPr>
          <w:b w:val="0"/>
          <w:sz w:val="22"/>
        </w:rPr>
        <w:t>(b) Median</w:t>
      </w:r>
    </w:p>
    <w:p>
      <w:pPr>
        <w:spacing w:after="0" w:before="0"/>
      </w:pPr>
      <w:r>
        <w:rPr>
          <w:b w:val="0"/>
          <w:sz w:val="22"/>
        </w:rPr>
        <w:t>(c) Mode</w:t>
      </w:r>
    </w:p>
    <w:p>
      <w:pPr>
        <w:spacing w:after="0" w:before="0"/>
      </w:pPr>
      <w:r>
        <w:rPr>
          <w:b w:val="0"/>
          <w:sz w:val="22"/>
        </w:rPr>
        <w:t>(d) Standard deviation</w:t>
      </w:r>
    </w:p>
    <w:p>
      <w:pPr>
        <w:spacing w:after="0" w:before="40"/>
      </w:pPr>
      <w:r>
        <w:rPr>
          <w:b/>
          <w:sz w:val="22"/>
        </w:rPr>
        <w:t>Answer: b</w:t>
      </w:r>
    </w:p>
    <w:p>
      <w:pPr>
        <w:spacing w:after="0" w:before="0"/>
      </w:pPr>
      <w:r>
        <w:rPr>
          <w:b w:val="0"/>
          <w:sz w:val="21"/>
        </w:rPr>
        <w:t>Solution: The incubation period, which refers to the time between exposure to a pathogen and the onset of symptoms, is typically measured using the median as a central tendency. The median represents the middle value in a set of data when arranged in ascending or descending order. In the context of the incubation period, the median provides a measure of the central tendency that indicates the typical or most common duration of time from exposure to symptom onset. It is important to note that the incubation central Tendency C mean , median moder standard deviation (statistics) period can vary depending on the specific infectious agent and individual factors.</w:t>
      </w:r>
    </w:p>
    <w:p>
      <w:pPr>
        <w:spacing w:after="0" w:before="0"/>
      </w:pPr>
      <w:r>
        <w:rPr>
          <w:b w:val="0"/>
          <w:sz w:val="20"/>
        </w:rPr>
        <w:t>Positive Marks: 1</w:t>
      </w:r>
    </w:p>
    <w:p>
      <w:pPr>
        <w:spacing w:after="160" w:before="0"/>
      </w:pPr>
      <w:r>
        <w:rPr>
          <w:b w:val="0"/>
          <w:sz w:val="20"/>
        </w:rPr>
        <w:t>Negative Marks: 0.25</w:t>
      </w:r>
    </w:p>
    <w:p>
      <w:pPr>
        <w:spacing w:after="20" w:before="120"/>
      </w:pPr>
      <w:r>
        <w:rPr>
          <w:b/>
          <w:sz w:val="22"/>
        </w:rPr>
        <w:t>Question: Which laboratory value requires IMMEDIATE notification in a client with chronic kidney disease?</w:t>
      </w:r>
    </w:p>
    <w:p>
      <w:pPr>
        <w:spacing w:after="0" w:before="0"/>
      </w:pPr>
      <w:r>
        <w:rPr>
          <w:b w:val="0"/>
          <w:sz w:val="22"/>
        </w:rPr>
        <w:t>(a) Serum potassium 6.8 mEq/L</w:t>
      </w:r>
    </w:p>
    <w:p>
      <w:pPr>
        <w:spacing w:after="0" w:before="0"/>
      </w:pPr>
      <w:r>
        <w:rPr>
          <w:b w:val="0"/>
          <w:sz w:val="22"/>
        </w:rPr>
        <w:t>(b) Hemoglobin 10.2 g/dL</w:t>
      </w:r>
    </w:p>
    <w:p>
      <w:pPr>
        <w:spacing w:after="0" w:before="0"/>
      </w:pPr>
      <w:r>
        <w:rPr>
          <w:b w:val="0"/>
          <w:sz w:val="22"/>
        </w:rPr>
        <w:t>(c) Serum creatinine 2.4 mg/dL</w:t>
      </w:r>
    </w:p>
    <w:p>
      <w:pPr>
        <w:spacing w:after="0" w:before="0"/>
      </w:pPr>
      <w:r>
        <w:rPr>
          <w:b w:val="0"/>
          <w:sz w:val="22"/>
        </w:rPr>
        <w:t>(d) Blood urea nitrogen 42 mg/dL</w:t>
      </w:r>
    </w:p>
    <w:p>
      <w:pPr>
        <w:spacing w:after="0" w:before="40"/>
      </w:pPr>
      <w:r>
        <w:rPr>
          <w:b/>
          <w:sz w:val="22"/>
        </w:rPr>
        <w:t>Answer: a</w:t>
      </w:r>
    </w:p>
    <w:p>
      <w:pPr>
        <w:spacing w:after="0" w:before="0"/>
      </w:pPr>
      <w:r>
        <w:rPr>
          <w:b w:val="0"/>
          <w:sz w:val="21"/>
        </w:rPr>
        <w:t>Solution: Hyperkalemia (&gt;5.5 mEq/L) can precipitate lethal cardiac dysrhythmias; potassium 6.8 mEq/L is a critical value that must be reported immediately.</w:t>
      </w:r>
    </w:p>
    <w:p>
      <w:pPr>
        <w:spacing w:after="0" w:before="0"/>
      </w:pPr>
      <w:r>
        <w:rPr>
          <w:b w:val="0"/>
          <w:sz w:val="20"/>
        </w:rPr>
        <w:t>Positive Marks: 1</w:t>
      </w:r>
    </w:p>
    <w:p>
      <w:pPr>
        <w:spacing w:after="160" w:before="0"/>
      </w:pPr>
      <w:r>
        <w:rPr>
          <w:b w:val="0"/>
          <w:sz w:val="20"/>
        </w:rPr>
        <w:t>Negative Marks: 0.25</w:t>
      </w:r>
    </w:p>
    <w:p>
      <w:pPr>
        <w:spacing w:after="20" w:before="120"/>
      </w:pPr>
      <w:r>
        <w:rPr>
          <w:b/>
          <w:sz w:val="22"/>
        </w:rPr>
        <w:t>Question: Disulfiram is commonly used for the treatment of:</w:t>
      </w:r>
    </w:p>
    <w:p>
      <w:pPr>
        <w:spacing w:after="0" w:before="0"/>
      </w:pPr>
      <w:r>
        <w:rPr>
          <w:b w:val="0"/>
          <w:sz w:val="22"/>
        </w:rPr>
        <w:t>(a) Chronic schizophrenia</w:t>
      </w:r>
    </w:p>
    <w:p>
      <w:pPr>
        <w:spacing w:after="0" w:before="0"/>
      </w:pPr>
      <w:r>
        <w:rPr>
          <w:b w:val="0"/>
          <w:sz w:val="22"/>
        </w:rPr>
        <w:t>(b) Chronic alcoholism</w:t>
      </w:r>
    </w:p>
    <w:p>
      <w:pPr>
        <w:spacing w:after="0" w:before="0"/>
      </w:pPr>
      <w:r>
        <w:rPr>
          <w:b w:val="0"/>
          <w:sz w:val="22"/>
        </w:rPr>
        <w:t>(c) Chronic smoker</w:t>
      </w:r>
    </w:p>
    <w:p>
      <w:pPr>
        <w:spacing w:after="0" w:before="0"/>
      </w:pPr>
      <w:r>
        <w:rPr>
          <w:b w:val="0"/>
          <w:sz w:val="22"/>
        </w:rPr>
        <w:t>(d) All of the above</w:t>
      </w:r>
    </w:p>
    <w:p>
      <w:pPr>
        <w:spacing w:after="0" w:before="40"/>
      </w:pPr>
      <w:r>
        <w:rPr>
          <w:b/>
          <w:sz w:val="22"/>
        </w:rPr>
        <w:t>Answer: b</w:t>
      </w:r>
    </w:p>
    <w:p>
      <w:pPr>
        <w:spacing w:after="0" w:before="0"/>
      </w:pPr>
      <w:r>
        <w:rPr>
          <w:b w:val="0"/>
          <w:sz w:val="21"/>
        </w:rPr>
        <w:t>Solution: Disulfiram (option B) is commonly used for the treatment of chronic alcoholism. Disulfiram is a medication that is used as a deterrent to alcohol consumption. It works by inhibiting the enzyme acetaldehyde dehydrogenase, which plays a role in the metabolism of alcohol. When disulfiram is taken and alcohol is consumed, it leads to an accumulation of acetaldehyde in the body, causing unpleasant symptoms such as nausea, flushing, palpitations, and headache</w:t>
      </w:r>
    </w:p>
    <w:p>
      <w:pPr>
        <w:spacing w:after="0" w:before="0"/>
      </w:pPr>
      <w:r>
        <w:rPr>
          <w:b w:val="0"/>
          <w:sz w:val="20"/>
        </w:rPr>
        <w:t>Positive Marks: 1</w:t>
      </w:r>
    </w:p>
    <w:p>
      <w:pPr>
        <w:spacing w:after="160" w:before="0"/>
      </w:pPr>
      <w:r>
        <w:rPr>
          <w:b w:val="0"/>
          <w:sz w:val="20"/>
        </w:rPr>
        <w:t>Negative Marks: 0.25</w:t>
      </w:r>
    </w:p>
    <w:p>
      <w:pPr>
        <w:spacing w:after="20" w:before="120"/>
      </w:pPr>
      <w:r>
        <w:rPr>
          <w:b/>
          <w:sz w:val="22"/>
        </w:rPr>
        <w:t>Question: Formula of measure the ET tube size in children?</w:t>
      </w:r>
    </w:p>
    <w:p>
      <w:pPr>
        <w:spacing w:after="0" w:before="0"/>
      </w:pPr>
      <w:r>
        <w:rPr>
          <w:b w:val="0"/>
          <w:sz w:val="22"/>
        </w:rPr>
        <w:t>(a) Age/36 month+4</w:t>
      </w:r>
    </w:p>
    <w:p>
      <w:pPr>
        <w:spacing w:after="0" w:before="0"/>
      </w:pPr>
      <w:r>
        <w:rPr>
          <w:b w:val="0"/>
          <w:sz w:val="22"/>
        </w:rPr>
        <w:t>(b) Age/18 month+4</w:t>
      </w:r>
    </w:p>
    <w:p>
      <w:pPr>
        <w:spacing w:after="0" w:before="0"/>
      </w:pPr>
      <w:r>
        <w:rPr>
          <w:b w:val="0"/>
          <w:sz w:val="22"/>
        </w:rPr>
        <w:t>(c) Age/4 year +4</w:t>
      </w:r>
    </w:p>
    <w:p>
      <w:pPr>
        <w:spacing w:after="0" w:before="0"/>
      </w:pPr>
      <w:r>
        <w:rPr>
          <w:b w:val="0"/>
          <w:sz w:val="22"/>
        </w:rPr>
        <w:t>(d) Age/6 year+3.5</w:t>
      </w:r>
    </w:p>
    <w:p>
      <w:pPr>
        <w:spacing w:after="0" w:before="40"/>
      </w:pPr>
      <w:r>
        <w:rPr>
          <w:b/>
          <w:sz w:val="22"/>
        </w:rPr>
        <w:t>Answer: c</w:t>
      </w:r>
    </w:p>
    <w:p>
      <w:pPr>
        <w:spacing w:after="0" w:before="0"/>
      </w:pPr>
      <w:r>
        <w:rPr>
          <w:b w:val="0"/>
          <w:sz w:val="21"/>
        </w:rPr>
        <w:t>Solution: Estimation of proper endotracheal tube size for children 1 to 10 years of age, based on the child's age: Uncuffed endotracheal tube size (mm ID) = (age in years/4) + 4. Cuffed endotracheal tube size (mm ID) = (age in years/4) + 3. The average size of the tube for an adult male is 8.0, and an adult female is 7.0</w:t>
      </w:r>
    </w:p>
    <w:p>
      <w:pPr>
        <w:spacing w:after="0" w:before="0"/>
      </w:pPr>
      <w:r>
        <w:rPr>
          <w:b w:val="0"/>
          <w:sz w:val="20"/>
        </w:rPr>
        <w:t>Positive Marks: 1</w:t>
      </w:r>
    </w:p>
    <w:p>
      <w:pPr>
        <w:spacing w:after="160" w:before="0"/>
      </w:pPr>
      <w:r>
        <w:rPr>
          <w:b w:val="0"/>
          <w:sz w:val="20"/>
        </w:rPr>
        <w:t>Negative Marks: 0.25</w:t>
      </w:r>
    </w:p>
    <w:p>
      <w:pPr>
        <w:spacing w:after="20" w:before="120"/>
      </w:pPr>
      <w:r>
        <w:rPr>
          <w:b/>
          <w:sz w:val="22"/>
        </w:rPr>
        <w:t>Question: Which of the following is primary prevention in skin</w:t>
      </w:r>
    </w:p>
    <w:p>
      <w:pPr>
        <w:spacing w:after="0" w:before="0"/>
      </w:pPr>
      <w:r>
        <w:rPr>
          <w:b w:val="0"/>
          <w:sz w:val="22"/>
        </w:rPr>
        <w:t>(a) Applying sunscreen creams and lotions while</w:t>
      </w:r>
    </w:p>
    <w:p>
      <w:pPr>
        <w:spacing w:after="0" w:before="0"/>
      </w:pPr>
      <w:r>
        <w:rPr>
          <w:b w:val="0"/>
          <w:sz w:val="22"/>
        </w:rPr>
        <w:t>(b) Professional skin examination and self skin</w:t>
      </w:r>
    </w:p>
    <w:p>
      <w:pPr>
        <w:spacing w:after="0" w:before="0"/>
      </w:pPr>
      <w:r>
        <w:rPr>
          <w:b w:val="0"/>
          <w:sz w:val="22"/>
        </w:rPr>
        <w:t>(c) Early diagnosis and initiation of treatment for skin</w:t>
      </w:r>
    </w:p>
    <w:p>
      <w:pPr>
        <w:spacing w:after="0" w:before="0"/>
      </w:pPr>
      <w:r>
        <w:rPr>
          <w:b w:val="0"/>
          <w:sz w:val="22"/>
        </w:rPr>
        <w:t>(d) Health education regarding treatment cornph chemotherapy</w:t>
      </w:r>
    </w:p>
    <w:p>
      <w:pPr>
        <w:spacing w:after="0" w:before="40"/>
      </w:pPr>
      <w:r>
        <w:rPr>
          <w:b/>
          <w:sz w:val="22"/>
        </w:rPr>
        <w:t>Answer: a</w:t>
      </w:r>
    </w:p>
    <w:p>
      <w:pPr>
        <w:spacing w:after="0" w:before="0"/>
      </w:pPr>
      <w:r>
        <w:rPr>
          <w:b w:val="0"/>
          <w:sz w:val="21"/>
        </w:rPr>
        <w:t>Solution: Applying sunscreen creams and lotions is an example of primary prevention in skin care. Primary prevention aims to prevent the occurrence of a disease or condition by taking measures to reduce risk factors and promote health. In the context of skin care, applying sunscreen creams and lotions with appropriate sun protection factor (SPF) helps to protect the skin from the harmful effects of ultraviolet (UV) radiation, which can lead to sunburn, premature aging, and an increased risk of skin cancer. Other examples of primary prevention in skin care include avoiding excessive sun exposure, wearing protective clothing, and seeking shade during peak sun hours. "Fitzpatrick's Dermatology in General Medicine</w:t>
      </w:r>
    </w:p>
    <w:p>
      <w:pPr>
        <w:spacing w:after="0" w:before="0"/>
      </w:pPr>
      <w:r>
        <w:rPr>
          <w:b w:val="0"/>
          <w:sz w:val="20"/>
        </w:rPr>
        <w:t>Positive Marks: 1</w:t>
      </w:r>
    </w:p>
    <w:p>
      <w:pPr>
        <w:spacing w:after="160" w:before="0"/>
      </w:pPr>
      <w:r>
        <w:rPr>
          <w:b w:val="0"/>
          <w:sz w:val="20"/>
        </w:rPr>
        <w:t>Negative Marks: 0.25</w:t>
      </w:r>
    </w:p>
    <w:p>
      <w:pPr>
        <w:spacing w:after="20" w:before="120"/>
      </w:pPr>
      <w:r>
        <w:rPr>
          <w:b/>
          <w:sz w:val="22"/>
        </w:rPr>
        <w:t>Question: Before suturing at the end of an open abdominal surgery, what is the mandatory priority action for the scrub nurse?</w:t>
      </w:r>
    </w:p>
    <w:p>
      <w:pPr>
        <w:spacing w:after="0" w:before="0"/>
      </w:pPr>
      <w:r>
        <w:rPr>
          <w:b w:val="0"/>
          <w:sz w:val="22"/>
        </w:rPr>
        <w:t>(a) Disinfection of OT room</w:t>
      </w:r>
    </w:p>
    <w:p>
      <w:pPr>
        <w:spacing w:after="0" w:before="0"/>
      </w:pPr>
      <w:r>
        <w:rPr>
          <w:b w:val="0"/>
          <w:sz w:val="22"/>
        </w:rPr>
        <w:t>(b) Change surgical gown</w:t>
      </w:r>
    </w:p>
    <w:p>
      <w:pPr>
        <w:spacing w:after="0" w:before="0"/>
      </w:pPr>
      <w:r>
        <w:rPr>
          <w:b w:val="0"/>
          <w:sz w:val="22"/>
        </w:rPr>
        <w:t>(c) Perform complete sponge, needle, and instrument count with circulator</w:t>
      </w:r>
    </w:p>
    <w:p>
      <w:pPr>
        <w:spacing w:after="0" w:before="0"/>
      </w:pPr>
      <w:r>
        <w:rPr>
          <w:b w:val="0"/>
          <w:sz w:val="22"/>
        </w:rPr>
        <w:t>(d) Clean instruments</w:t>
      </w:r>
    </w:p>
    <w:p>
      <w:pPr>
        <w:spacing w:after="0" w:before="40"/>
      </w:pPr>
      <w:r>
        <w:rPr>
          <w:b/>
          <w:sz w:val="22"/>
        </w:rPr>
        <w:t>Answer: c</w:t>
      </w:r>
    </w:p>
    <w:p>
      <w:pPr>
        <w:spacing w:after="0" w:before="0"/>
      </w:pPr>
      <w:r>
        <w:rPr>
          <w:b w:val="0"/>
          <w:sz w:val="21"/>
        </w:rPr>
        <w:t>Solution: A dual, verified count of surgical sponges, needles, and instruments before peritoneal closure is mandatory to prevent retained surgical items (gossypiboma).</w:t>
      </w:r>
    </w:p>
    <w:p>
      <w:pPr>
        <w:spacing w:after="0" w:before="0"/>
      </w:pPr>
      <w:r>
        <w:rPr>
          <w:b w:val="0"/>
          <w:sz w:val="20"/>
        </w:rPr>
        <w:t>Positive Marks: 1</w:t>
      </w:r>
    </w:p>
    <w:p>
      <w:pPr>
        <w:spacing w:after="160" w:before="0"/>
      </w:pPr>
      <w:r>
        <w:rPr>
          <w:b w:val="0"/>
          <w:sz w:val="20"/>
        </w:rPr>
        <w:t>Negative Marks: 0.25</w:t>
      </w:r>
    </w:p>
    <w:p>
      <w:pPr>
        <w:spacing w:after="20" w:before="120"/>
      </w:pPr>
      <w:r>
        <w:rPr>
          <w:b/>
          <w:sz w:val="22"/>
        </w:rPr>
        <w:t>Question: Which of the following is an X-linked recessive disorder?</w:t>
      </w:r>
    </w:p>
    <w:p>
      <w:pPr>
        <w:spacing w:after="0" w:before="0"/>
      </w:pPr>
      <w:r>
        <w:rPr>
          <w:b w:val="0"/>
          <w:sz w:val="22"/>
        </w:rPr>
        <w:t>(a) Haemophilia A</w:t>
      </w:r>
    </w:p>
    <w:p>
      <w:pPr>
        <w:spacing w:after="0" w:before="0"/>
      </w:pPr>
      <w:r>
        <w:rPr>
          <w:b w:val="0"/>
          <w:sz w:val="22"/>
        </w:rPr>
        <w:t>(b) Huntington's disease</w:t>
      </w:r>
    </w:p>
    <w:p>
      <w:pPr>
        <w:spacing w:after="0" w:before="0"/>
      </w:pPr>
      <w:r>
        <w:rPr>
          <w:b w:val="0"/>
          <w:sz w:val="22"/>
        </w:rPr>
        <w:t>(c) Marfan syndrome</w:t>
      </w:r>
    </w:p>
    <w:p>
      <w:pPr>
        <w:spacing w:after="0" w:before="0"/>
      </w:pPr>
      <w:r>
        <w:rPr>
          <w:b w:val="0"/>
          <w:sz w:val="22"/>
        </w:rPr>
        <w:t>(d) Osteogenesis imperfecta</w:t>
      </w:r>
    </w:p>
    <w:p>
      <w:pPr>
        <w:spacing w:after="0" w:before="40"/>
      </w:pPr>
      <w:r>
        <w:rPr>
          <w:b/>
          <w:sz w:val="22"/>
        </w:rPr>
        <w:t>Answer: a</w:t>
      </w:r>
    </w:p>
    <w:p>
      <w:pPr>
        <w:spacing w:after="0" w:before="0"/>
      </w:pPr>
      <w:r>
        <w:rPr>
          <w:b w:val="0"/>
          <w:sz w:val="21"/>
        </w:rPr>
        <w:t>Solution: Haemophilia A (factor VIII deficiency) is an X-linked recessive disorder; affected males inherit the defective X chromosome from carrier mothers, while Huntington's disease and Marfan syndrome are autosomal dominant.</w:t>
      </w:r>
    </w:p>
    <w:p>
      <w:pPr>
        <w:spacing w:after="0" w:before="0"/>
      </w:pPr>
      <w:r>
        <w:rPr>
          <w:b w:val="0"/>
          <w:sz w:val="20"/>
        </w:rPr>
        <w:t>Positive Marks: 1</w:t>
      </w:r>
    </w:p>
    <w:p>
      <w:pPr>
        <w:spacing w:after="160" w:before="0"/>
      </w:pPr>
      <w:r>
        <w:rPr>
          <w:b w:val="0"/>
          <w:sz w:val="20"/>
        </w:rPr>
        <w:t>Negative Marks: 0.25</w:t>
      </w:r>
    </w:p>
    <w:p>
      <w:pPr>
        <w:spacing w:after="20" w:before="120"/>
      </w:pPr>
      <w:r>
        <w:rPr>
          <w:b/>
          <w:sz w:val="22"/>
        </w:rPr>
        <w:t>Question: Scrubbing will be considered as:</w:t>
      </w:r>
    </w:p>
    <w:p>
      <w:pPr>
        <w:spacing w:after="0" w:before="0"/>
      </w:pPr>
      <w:r>
        <w:rPr>
          <w:b w:val="0"/>
          <w:sz w:val="22"/>
        </w:rPr>
        <w:t>(a) Physical disinfection</w:t>
      </w:r>
    </w:p>
    <w:p>
      <w:pPr>
        <w:spacing w:after="0" w:before="0"/>
      </w:pPr>
      <w:r>
        <w:rPr>
          <w:b w:val="0"/>
          <w:sz w:val="22"/>
        </w:rPr>
        <w:t>(b) Chemical disinfection</w:t>
      </w:r>
    </w:p>
    <w:p>
      <w:pPr>
        <w:spacing w:after="0" w:before="0"/>
      </w:pPr>
      <w:r>
        <w:rPr>
          <w:b w:val="0"/>
          <w:sz w:val="22"/>
        </w:rPr>
        <w:t>(c) Chemical sterilization</w:t>
      </w:r>
    </w:p>
    <w:p>
      <w:pPr>
        <w:spacing w:after="0" w:before="0"/>
      </w:pPr>
      <w:r>
        <w:rPr>
          <w:b w:val="0"/>
          <w:sz w:val="22"/>
        </w:rPr>
        <w:t>(d) Physical sterilization</w:t>
      </w:r>
    </w:p>
    <w:p>
      <w:pPr>
        <w:spacing w:after="0" w:before="40"/>
      </w:pPr>
      <w:r>
        <w:rPr>
          <w:b/>
          <w:sz w:val="22"/>
        </w:rPr>
        <w:t>Answer: b</w:t>
      </w:r>
    </w:p>
    <w:p>
      <w:pPr>
        <w:spacing w:after="0" w:before="0"/>
      </w:pPr>
      <w:r>
        <w:rPr>
          <w:b w:val="0"/>
          <w:sz w:val="21"/>
        </w:rPr>
        <w:t>Solution: Scrubbing is considered as chemical disinfection. Chemical disinfection involves the use of chemical agents to eliminate or reduce the number of microorganisms on surfaces, instruments, or equipment. Scrubbing, in the context of disinfection, refers to the mechanical action of rubbing or brushing the surface with a chemical disinfectant solution. This process helps in removing organic matter and microorganisms present on the surface. The chemical disinfectant used during scrubbing aids in killing or inhibiting the growth of microorganisms, ensuring effective disinfection. Scrubbing is commonly employed in healthcare settings to clean and disinfect medical instruments, surgical equipment, and surfaces in patient care areas.</w:t>
      </w:r>
    </w:p>
    <w:p>
      <w:pPr>
        <w:spacing w:after="0" w:before="0"/>
      </w:pPr>
      <w:r>
        <w:rPr>
          <w:b w:val="0"/>
          <w:sz w:val="20"/>
        </w:rPr>
        <w:t>Positive Marks: 1</w:t>
      </w:r>
    </w:p>
    <w:p>
      <w:pPr>
        <w:spacing w:after="160" w:before="0"/>
      </w:pPr>
      <w:r>
        <w:rPr>
          <w:b w:val="0"/>
          <w:sz w:val="20"/>
        </w:rPr>
        <w:t>Negative Marks: 0.25</w:t>
      </w:r>
    </w:p>
    <w:p>
      <w:pPr>
        <w:spacing w:after="20" w:before="120"/>
      </w:pPr>
      <w:r>
        <w:rPr>
          <w:b/>
          <w:sz w:val="22"/>
        </w:rPr>
        <w:t>Question: A patient taking haloperidol is unable to sit quietly and paces constantly. What is this extrapyramidal side effect called?</w:t>
      </w:r>
    </w:p>
    <w:p>
      <w:pPr>
        <w:spacing w:after="0" w:before="0"/>
      </w:pPr>
      <w:r>
        <w:rPr>
          <w:b w:val="0"/>
          <w:sz w:val="22"/>
        </w:rPr>
        <w:t>(a) Restlessness</w:t>
      </w:r>
    </w:p>
    <w:p>
      <w:pPr>
        <w:spacing w:after="0" w:before="0"/>
      </w:pPr>
      <w:r>
        <w:rPr>
          <w:b w:val="0"/>
          <w:sz w:val="22"/>
        </w:rPr>
        <w:t>(b) Irritable</w:t>
      </w:r>
    </w:p>
    <w:p>
      <w:pPr>
        <w:spacing w:after="0" w:before="0"/>
      </w:pPr>
      <w:r>
        <w:rPr>
          <w:b w:val="0"/>
          <w:sz w:val="22"/>
        </w:rPr>
        <w:t>(c) Tardive dyskinesia</w:t>
      </w:r>
    </w:p>
    <w:p>
      <w:pPr>
        <w:spacing w:after="0" w:before="0"/>
      </w:pPr>
      <w:r>
        <w:rPr>
          <w:b w:val="0"/>
          <w:sz w:val="22"/>
        </w:rPr>
        <w:t>(d) Akathisia</w:t>
      </w:r>
    </w:p>
    <w:p>
      <w:pPr>
        <w:spacing w:after="0" w:before="40"/>
      </w:pPr>
      <w:r>
        <w:rPr>
          <w:b/>
          <w:sz w:val="22"/>
        </w:rPr>
        <w:t>Answer: c</w:t>
      </w:r>
    </w:p>
    <w:p>
      <w:pPr>
        <w:spacing w:after="0" w:before="0"/>
      </w:pPr>
      <w:r>
        <w:rPr>
          <w:b w:val="0"/>
          <w:sz w:val="21"/>
        </w:rPr>
        <w:t>Solution: Antipsychotic drugs e.g. haloperidol, fluphenazine, chlorpromazine and others are associated with neuromuscular and neurologic adverse effects called Extrapyramidal symptoms (EPS) include acute dystonia (abnormal positioning or spasm of muscles of the head, neck, trunk, or limbs), acute dyskinesia (any disturbance of movement), pseudoparkinsonism (impaired body movement), and akathisia (motor restlessness). Tardive dyskinesia (TD) is an involuntary neurologic movement disorder, and neuroleptic malignant syndrome (NMS) is a rare but potentially life-threatening neurological syndrome. Akathisia is a movement disorder characterized by a feeling of inner restlessness and a compelling urge to move, often accompanied by visible movements such as rocking, pacing, or crossing and uncrossing the legs.</w:t>
      </w:r>
    </w:p>
    <w:p>
      <w:pPr>
        <w:spacing w:after="0" w:before="0"/>
      </w:pPr>
      <w:r>
        <w:rPr>
          <w:b w:val="0"/>
          <w:sz w:val="20"/>
        </w:rPr>
        <w:t>Positive Marks: 1</w:t>
      </w:r>
    </w:p>
    <w:p>
      <w:pPr>
        <w:spacing w:after="160" w:before="0"/>
      </w:pPr>
      <w:r>
        <w:rPr>
          <w:b w:val="0"/>
          <w:sz w:val="20"/>
        </w:rPr>
        <w:t>Negative Marks: 0.25</w:t>
      </w:r>
    </w:p>
    <w:p>
      <w:pPr>
        <w:spacing w:after="20" w:before="120"/>
      </w:pPr>
      <w:r>
        <w:rPr>
          <w:b/>
          <w:sz w:val="22"/>
        </w:rPr>
        <w:t>Question: Identify the following skin disease characterized by honey-like crusts around the mouth in a baby:</w:t>
      </w:r>
    </w:p>
    <w:p>
      <w:pPr>
        <w:spacing w:after="0" w:before="0"/>
      </w:pPr>
      <w:r>
        <w:rPr>
          <w:b w:val="0"/>
          <w:sz w:val="22"/>
        </w:rPr>
        <w:t>(a) Scabies</w:t>
      </w:r>
    </w:p>
    <w:p>
      <w:pPr>
        <w:spacing w:after="0" w:before="0"/>
      </w:pPr>
      <w:r>
        <w:rPr>
          <w:b w:val="0"/>
          <w:sz w:val="22"/>
        </w:rPr>
        <w:t>(b) Impetigo</w:t>
      </w:r>
    </w:p>
    <w:p>
      <w:pPr>
        <w:spacing w:after="0" w:before="0"/>
      </w:pPr>
      <w:r>
        <w:rPr>
          <w:b w:val="0"/>
          <w:sz w:val="22"/>
        </w:rPr>
        <w:t>(c) Atopic dermatitis</w:t>
      </w:r>
    </w:p>
    <w:p>
      <w:pPr>
        <w:spacing w:after="0" w:before="0"/>
      </w:pPr>
      <w:r>
        <w:rPr>
          <w:b w:val="0"/>
          <w:sz w:val="22"/>
        </w:rPr>
        <w:t>(d) Food Poisoning</w:t>
      </w:r>
    </w:p>
    <w:p>
      <w:pPr>
        <w:spacing w:after="0" w:before="40"/>
      </w:pPr>
      <w:r>
        <w:rPr>
          <w:b/>
          <w:sz w:val="22"/>
        </w:rPr>
        <w:t>Answer: b</w:t>
      </w:r>
    </w:p>
    <w:p>
      <w:pPr>
        <w:spacing w:after="0" w:before="0"/>
      </w:pPr>
      <w:r>
        <w:rPr>
          <w:b w:val="0"/>
          <w:sz w:val="21"/>
        </w:rPr>
        <w:t>Solution: The skin disease characterized by honey-like crusts around the mouth in a baby is impetigo. Impetigo is a common bacterial skin infection caused by Staphylococcus aureus or Streptococcus pyogenes. It is highly contagious and typically affects children. The honey-like crusts form as a result of the infection and can occur around the mouth, as well as on other areas of the body. Prompt treatment with appropriate antibiotics is essential to prevent the spread of the infection.</w:t>
      </w:r>
    </w:p>
    <w:p>
      <w:pPr>
        <w:spacing w:after="0" w:before="0"/>
      </w:pPr>
      <w:r>
        <w:rPr>
          <w:b w:val="0"/>
          <w:sz w:val="20"/>
        </w:rPr>
        <w:t>Positive Marks: 1</w:t>
      </w:r>
    </w:p>
    <w:p>
      <w:pPr>
        <w:spacing w:after="160" w:before="0"/>
      </w:pPr>
      <w:r>
        <w:rPr>
          <w:b w:val="0"/>
          <w:sz w:val="20"/>
        </w:rPr>
        <w:t>Negative Marks: 0.25</w:t>
      </w:r>
    </w:p>
    <w:p>
      <w:pPr>
        <w:spacing w:after="20" w:before="120"/>
      </w:pPr>
      <w:r>
        <w:rPr>
          <w:b/>
          <w:sz w:val="22"/>
        </w:rPr>
        <w:t>Question: A burn patient with 30% TBSA burns in the first 24 hours should be monitored most closely for:</w:t>
      </w:r>
    </w:p>
    <w:p>
      <w:pPr>
        <w:spacing w:after="0" w:before="0"/>
      </w:pPr>
      <w:r>
        <w:rPr>
          <w:b w:val="0"/>
          <w:sz w:val="22"/>
        </w:rPr>
        <w:t>(a) Hyperglycemia</w:t>
      </w:r>
    </w:p>
    <w:p>
      <w:pPr>
        <w:spacing w:after="0" w:before="0"/>
      </w:pPr>
      <w:r>
        <w:rPr>
          <w:b w:val="0"/>
          <w:sz w:val="22"/>
        </w:rPr>
        <w:t>(b) Constipation</w:t>
      </w:r>
    </w:p>
    <w:p>
      <w:pPr>
        <w:spacing w:after="0" w:before="0"/>
      </w:pPr>
      <w:r>
        <w:rPr>
          <w:b w:val="0"/>
          <w:sz w:val="22"/>
        </w:rPr>
        <w:t>(c) Hyperkalemia only</w:t>
      </w:r>
    </w:p>
    <w:p>
      <w:pPr>
        <w:spacing w:after="0" w:before="0"/>
      </w:pPr>
      <w:r>
        <w:rPr>
          <w:b w:val="0"/>
          <w:sz w:val="22"/>
        </w:rPr>
        <w:t>(d) Hypovolaemic shock</w:t>
      </w:r>
    </w:p>
    <w:p>
      <w:pPr>
        <w:spacing w:after="0" w:before="40"/>
      </w:pPr>
      <w:r>
        <w:rPr>
          <w:b/>
          <w:sz w:val="22"/>
        </w:rPr>
        <w:t>Answer: d</w:t>
      </w:r>
    </w:p>
    <w:p>
      <w:pPr>
        <w:spacing w:after="0" w:before="0"/>
      </w:pPr>
      <w:r>
        <w:rPr>
          <w:b w:val="0"/>
          <w:sz w:val="21"/>
        </w:rPr>
        <w:t>Solution: Fluid shift from the intravascular compartment causes hypovolaemic shock in the first 24-48 hours after burns.</w:t>
      </w:r>
    </w:p>
    <w:p>
      <w:pPr>
        <w:spacing w:after="0" w:before="0"/>
      </w:pPr>
      <w:r>
        <w:rPr>
          <w:b w:val="0"/>
          <w:sz w:val="20"/>
        </w:rPr>
        <w:t>Positive Marks: 1</w:t>
      </w:r>
    </w:p>
    <w:p>
      <w:pPr>
        <w:spacing w:after="160" w:before="0"/>
      </w:pPr>
      <w:r>
        <w:rPr>
          <w:b w:val="0"/>
          <w:sz w:val="20"/>
        </w:rPr>
        <w:t>Negative Marks: 0.25</w:t>
      </w:r>
    </w:p>
    <w:p>
      <w:pPr>
        <w:spacing w:after="20" w:before="120"/>
      </w:pPr>
      <w:r>
        <w:rPr>
          <w:b/>
          <w:sz w:val="22"/>
        </w:rPr>
        <w:t>Question: The 'therapeutic use of self' in psychiatric nursing was emphasised by:</w:t>
      </w:r>
    </w:p>
    <w:p>
      <w:pPr>
        <w:spacing w:after="0" w:before="0"/>
      </w:pPr>
      <w:r>
        <w:rPr>
          <w:b w:val="0"/>
          <w:sz w:val="22"/>
        </w:rPr>
        <w:t>(a) Hildegard Peplau</w:t>
      </w:r>
    </w:p>
    <w:p>
      <w:pPr>
        <w:spacing w:after="0" w:before="0"/>
      </w:pPr>
      <w:r>
        <w:rPr>
          <w:b w:val="0"/>
          <w:sz w:val="22"/>
        </w:rPr>
        <w:t>(b) Betty Neuman</w:t>
      </w:r>
    </w:p>
    <w:p>
      <w:pPr>
        <w:spacing w:after="0" w:before="0"/>
      </w:pPr>
      <w:r>
        <w:rPr>
          <w:b w:val="0"/>
          <w:sz w:val="22"/>
        </w:rPr>
        <w:t>(c) Virginia Henderson</w:t>
      </w:r>
    </w:p>
    <w:p>
      <w:pPr>
        <w:spacing w:after="0" w:before="0"/>
      </w:pPr>
      <w:r>
        <w:rPr>
          <w:b w:val="0"/>
          <w:sz w:val="22"/>
        </w:rPr>
        <w:t>(d) Dorothea Orem</w:t>
      </w:r>
    </w:p>
    <w:p>
      <w:pPr>
        <w:spacing w:after="0" w:before="40"/>
      </w:pPr>
      <w:r>
        <w:rPr>
          <w:b/>
          <w:sz w:val="22"/>
        </w:rPr>
        <w:t>Answer: a</w:t>
      </w:r>
    </w:p>
    <w:p>
      <w:pPr>
        <w:spacing w:after="0" w:before="0"/>
      </w:pPr>
      <w:r>
        <w:rPr>
          <w:b w:val="0"/>
          <w:sz w:val="21"/>
        </w:rPr>
        <w:t>Solution: Hildegard Peplau's interpersonal theory (1952) emphasised the nurse-patient relationship and therapeutic use of self.</w:t>
      </w:r>
    </w:p>
    <w:p>
      <w:pPr>
        <w:spacing w:after="0" w:before="0"/>
      </w:pPr>
      <w:r>
        <w:rPr>
          <w:b w:val="0"/>
          <w:sz w:val="20"/>
        </w:rPr>
        <w:t>Positive Marks: 1</w:t>
      </w:r>
    </w:p>
    <w:p>
      <w:pPr>
        <w:spacing w:after="160" w:before="0"/>
      </w:pPr>
      <w:r>
        <w:rPr>
          <w:b w:val="0"/>
          <w:sz w:val="20"/>
        </w:rPr>
        <w:t>Negative Marks: 0.25</w:t>
      </w:r>
    </w:p>
    <w:p>
      <w:pPr>
        <w:spacing w:after="20" w:before="120"/>
      </w:pPr>
      <w:r>
        <w:rPr>
          <w:b/>
          <w:sz w:val="22"/>
        </w:rPr>
        <w:t>Question: Which of the following inheritance patterns typically shows affected individuals in every generation with male-to-male transmission?</w:t>
      </w:r>
    </w:p>
    <w:p>
      <w:pPr>
        <w:spacing w:after="0" w:before="0"/>
      </w:pPr>
      <w:r>
        <w:rPr>
          <w:b w:val="0"/>
          <w:sz w:val="22"/>
        </w:rPr>
        <w:t>(a) Autosomal dominant</w:t>
      </w:r>
    </w:p>
    <w:p>
      <w:pPr>
        <w:spacing w:after="0" w:before="0"/>
      </w:pPr>
      <w:r>
        <w:rPr>
          <w:b w:val="0"/>
          <w:sz w:val="22"/>
        </w:rPr>
        <w:t>(b) X-linked recessive</w:t>
      </w:r>
    </w:p>
    <w:p>
      <w:pPr>
        <w:spacing w:after="0" w:before="0"/>
      </w:pPr>
      <w:r>
        <w:rPr>
          <w:b w:val="0"/>
          <w:sz w:val="22"/>
        </w:rPr>
        <w:t>(c) X-linked dominant</w:t>
      </w:r>
    </w:p>
    <w:p>
      <w:pPr>
        <w:spacing w:after="0" w:before="0"/>
      </w:pPr>
      <w:r>
        <w:rPr>
          <w:b w:val="0"/>
          <w:sz w:val="22"/>
        </w:rPr>
        <w:t>(d) Autosomal recessive</w:t>
      </w:r>
    </w:p>
    <w:p>
      <w:pPr>
        <w:spacing w:after="0" w:before="40"/>
      </w:pPr>
      <w:r>
        <w:rPr>
          <w:b/>
          <w:sz w:val="22"/>
        </w:rPr>
        <w:t>Answer: a</w:t>
      </w:r>
    </w:p>
    <w:p>
      <w:pPr>
        <w:spacing w:after="0" w:before="0"/>
      </w:pPr>
      <w:r>
        <w:rPr>
          <w:b w:val="0"/>
          <w:sz w:val="21"/>
        </w:rPr>
        <w:t>Solution: Autosomal dominant traits appear in every generation and show male-to-male transmission; affected persons have a 50% chance of passing the gene to each child.</w:t>
      </w:r>
    </w:p>
    <w:p>
      <w:pPr>
        <w:spacing w:after="0" w:before="0"/>
      </w:pPr>
      <w:r>
        <w:rPr>
          <w:b w:val="0"/>
          <w:sz w:val="20"/>
        </w:rPr>
        <w:t>Positive Marks: 1</w:t>
      </w:r>
    </w:p>
    <w:p>
      <w:pPr>
        <w:spacing w:after="160" w:before="0"/>
      </w:pPr>
      <w:r>
        <w:rPr>
          <w:b w:val="0"/>
          <w:sz w:val="20"/>
        </w:rPr>
        <w:t>Negative Marks: 0.25</w:t>
      </w:r>
    </w:p>
    <w:p>
      <w:pPr>
        <w:spacing w:after="20" w:before="120"/>
      </w:pPr>
      <w:r>
        <w:rPr>
          <w:b/>
          <w:sz w:val="22"/>
        </w:rPr>
        <w:t>Question: According to Schneider, which of the following is a first-rank symptom of schizophrenia?</w:t>
      </w:r>
    </w:p>
    <w:p>
      <w:pPr>
        <w:spacing w:after="0" w:before="0"/>
      </w:pPr>
      <w:r>
        <w:rPr>
          <w:b w:val="0"/>
          <w:sz w:val="22"/>
        </w:rPr>
        <w:t>(a) Visual hallucination</w:t>
      </w:r>
    </w:p>
    <w:p>
      <w:pPr>
        <w:spacing w:after="0" w:before="0"/>
      </w:pPr>
      <w:r>
        <w:rPr>
          <w:b w:val="0"/>
          <w:sz w:val="22"/>
        </w:rPr>
        <w:t>(b) Auditory hallucination</w:t>
      </w:r>
    </w:p>
    <w:p>
      <w:pPr>
        <w:spacing w:after="0" w:before="0"/>
      </w:pPr>
      <w:r>
        <w:rPr>
          <w:b w:val="0"/>
          <w:sz w:val="22"/>
        </w:rPr>
        <w:t>(c) Thought echo</w:t>
      </w:r>
    </w:p>
    <w:p>
      <w:pPr>
        <w:spacing w:after="0" w:before="0"/>
      </w:pPr>
      <w:r>
        <w:rPr>
          <w:b w:val="0"/>
          <w:sz w:val="22"/>
        </w:rPr>
        <w:t>(d) Thought broadcast</w:t>
      </w:r>
    </w:p>
    <w:p>
      <w:pPr>
        <w:spacing w:after="0" w:before="40"/>
      </w:pPr>
      <w:r>
        <w:rPr>
          <w:b/>
          <w:sz w:val="22"/>
        </w:rPr>
        <w:t>Answer: b</w:t>
      </w:r>
    </w:p>
    <w:p>
      <w:pPr>
        <w:spacing w:after="0" w:before="0"/>
      </w:pPr>
      <w:r>
        <w:rPr>
          <w:b w:val="0"/>
          <w:sz w:val="21"/>
        </w:rPr>
        <w:t>Solution: Schneider's First Rank Symptoms (FRS), include: auditory hallucinations; thought withdrawal, insertion and interruption; thought broadcasting; somatic hallucinations; delusional perception; feelings or actions as made or influenced by external agents.</w:t>
      </w:r>
    </w:p>
    <w:p>
      <w:pPr>
        <w:spacing w:after="0" w:before="0"/>
      </w:pPr>
      <w:r>
        <w:rPr>
          <w:b w:val="0"/>
          <w:sz w:val="20"/>
        </w:rPr>
        <w:t>Positive Marks: 1</w:t>
      </w:r>
    </w:p>
    <w:p>
      <w:pPr>
        <w:spacing w:after="160" w:before="0"/>
      </w:pPr>
      <w:r>
        <w:rPr>
          <w:b w:val="0"/>
          <w:sz w:val="20"/>
        </w:rPr>
        <w:t>Negative Marks: 0.25</w:t>
      </w:r>
    </w:p>
    <w:p>
      <w:pPr>
        <w:spacing w:after="20" w:before="120"/>
      </w:pPr>
      <w:r>
        <w:rPr>
          <w:b/>
          <w:sz w:val="22"/>
        </w:rPr>
        <w:t>Question: Widal test is done in the diagnosis of:</w:t>
      </w:r>
    </w:p>
    <w:p>
      <w:pPr>
        <w:spacing w:after="0" w:before="0"/>
      </w:pPr>
      <w:r>
        <w:rPr>
          <w:b w:val="0"/>
          <w:sz w:val="22"/>
        </w:rPr>
        <w:t>(a) Hay fever</w:t>
      </w:r>
    </w:p>
    <w:p>
      <w:pPr>
        <w:spacing w:after="0" w:before="0"/>
      </w:pPr>
      <w:r>
        <w:rPr>
          <w:b w:val="0"/>
          <w:sz w:val="22"/>
        </w:rPr>
        <w:t>(b) Enteric fever</w:t>
      </w:r>
    </w:p>
    <w:p>
      <w:pPr>
        <w:spacing w:after="0" w:before="0"/>
      </w:pPr>
      <w:r>
        <w:rPr>
          <w:b w:val="0"/>
          <w:sz w:val="22"/>
        </w:rPr>
        <w:t>(c) Rheumatic fever</w:t>
      </w:r>
    </w:p>
    <w:p>
      <w:pPr>
        <w:spacing w:after="0" w:before="0"/>
      </w:pPr>
      <w:r>
        <w:rPr>
          <w:b w:val="0"/>
          <w:sz w:val="22"/>
        </w:rPr>
        <w:t>(d) Dengue fever</w:t>
      </w:r>
    </w:p>
    <w:p>
      <w:pPr>
        <w:spacing w:after="0" w:before="40"/>
      </w:pPr>
      <w:r>
        <w:rPr>
          <w:b/>
          <w:sz w:val="22"/>
        </w:rPr>
        <w:t>Answer: b</w:t>
      </w:r>
    </w:p>
    <w:p>
      <w:pPr>
        <w:spacing w:after="0" w:before="0"/>
      </w:pPr>
      <w:r>
        <w:rPr>
          <w:b w:val="0"/>
          <w:sz w:val="21"/>
        </w:rPr>
        <w:t>Solution: The Widal test is used in the diagnosis of enteric (typhoid) fever caused by Salmonella typhi.</w:t>
      </w:r>
    </w:p>
    <w:p>
      <w:pPr>
        <w:spacing w:after="0" w:before="0"/>
      </w:pPr>
      <w:r>
        <w:rPr>
          <w:b w:val="0"/>
          <w:sz w:val="20"/>
        </w:rPr>
        <w:t>Positive Marks: 1</w:t>
      </w:r>
    </w:p>
    <w:p>
      <w:pPr>
        <w:spacing w:after="160" w:before="0"/>
      </w:pPr>
      <w:r>
        <w:rPr>
          <w:b w:val="0"/>
          <w:sz w:val="20"/>
        </w:rPr>
        <w:t>Negative Marks: 0.25</w:t>
      </w:r>
    </w:p>
    <w:p>
      <w:pPr>
        <w:spacing w:after="20" w:before="120"/>
      </w:pPr>
      <w:r>
        <w:rPr>
          <w:b/>
          <w:sz w:val="22"/>
        </w:rPr>
        <w:t>Question: Which Gram-negative diplococcus bacterium causes Neisseria Gonorrhoeae infection?</w:t>
      </w:r>
    </w:p>
    <w:p>
      <w:pPr>
        <w:spacing w:after="0" w:before="0"/>
      </w:pPr>
      <w:r>
        <w:rPr>
          <w:b w:val="0"/>
          <w:sz w:val="22"/>
        </w:rPr>
        <w:t>(a) Neisseria gonorrhoeae</w:t>
      </w:r>
    </w:p>
    <w:p>
      <w:pPr>
        <w:spacing w:after="0" w:before="0"/>
      </w:pPr>
      <w:r>
        <w:rPr>
          <w:b w:val="0"/>
          <w:sz w:val="22"/>
        </w:rPr>
        <w:t>(b) Stylus gonorrhoeae</w:t>
      </w:r>
    </w:p>
    <w:p>
      <w:pPr>
        <w:spacing w:after="0" w:before="0"/>
      </w:pPr>
      <w:r>
        <w:rPr>
          <w:b w:val="0"/>
          <w:sz w:val="22"/>
        </w:rPr>
        <w:t>(c) Treponema pallidum</w:t>
      </w:r>
    </w:p>
    <w:p>
      <w:pPr>
        <w:spacing w:after="0" w:before="0"/>
      </w:pPr>
      <w:r>
        <w:rPr>
          <w:b w:val="0"/>
          <w:sz w:val="22"/>
        </w:rPr>
        <w:t>(d) Streptococcus pneumoniae</w:t>
      </w:r>
    </w:p>
    <w:p>
      <w:pPr>
        <w:spacing w:after="0" w:before="40"/>
      </w:pPr>
      <w:r>
        <w:rPr>
          <w:b/>
          <w:sz w:val="22"/>
        </w:rPr>
        <w:t>Answer: a</w:t>
      </w:r>
    </w:p>
    <w:p>
      <w:pPr>
        <w:spacing w:after="0" w:before="0"/>
      </w:pPr>
      <w:r>
        <w:rPr>
          <w:b w:val="0"/>
          <w:sz w:val="21"/>
        </w:rPr>
        <w:t>Solution: Neisseria gonorrhoeae is a Gram-negative diplococcus responsible for sexually transmitted gonococcal urethritis and cervicitis.</w:t>
      </w:r>
    </w:p>
    <w:p>
      <w:pPr>
        <w:spacing w:after="0" w:before="0"/>
      </w:pPr>
      <w:r>
        <w:rPr>
          <w:b w:val="0"/>
          <w:sz w:val="20"/>
        </w:rPr>
        <w:t>Positive Marks: 1</w:t>
      </w:r>
    </w:p>
    <w:p>
      <w:pPr>
        <w:spacing w:after="160" w:before="0"/>
      </w:pPr>
      <w:r>
        <w:rPr>
          <w:b w:val="0"/>
          <w:sz w:val="20"/>
        </w:rPr>
        <w:t>Negative Marks: 0.25</w:t>
      </w:r>
    </w:p>
    <w:sectPr w:rsidR="00FC693F" w:rsidRPr="0006063C" w:rsidSect="00034616">
      <w:pgSz w:w="12240" w:h="15840"/>
      <w:pgMar w:top="864" w:right="1008" w:bottom="864"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