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patient taking antipsychotic medications exhibits motor restlessness, pacing, and inability to sit still. This extrapyramidal side effect is</w:t>
      </w:r>
    </w:p>
    <w:p>
      <w:pPr>
        <w:spacing w:after="0" w:before="0"/>
      </w:pPr>
      <w:r>
        <w:rPr>
          <w:b w:val="0"/>
          <w:sz w:val="22"/>
        </w:rPr>
        <w:t>(a) Neuroleptic malignant syndrome</w:t>
      </w:r>
    </w:p>
    <w:p>
      <w:pPr>
        <w:spacing w:after="0" w:before="0"/>
      </w:pPr>
      <w:r>
        <w:rPr>
          <w:b w:val="0"/>
          <w:sz w:val="22"/>
        </w:rPr>
        <w:t>(b) Akathisia</w:t>
      </w:r>
    </w:p>
    <w:p>
      <w:pPr>
        <w:spacing w:after="0" w:before="0"/>
      </w:pPr>
      <w:r>
        <w:rPr>
          <w:b w:val="0"/>
          <w:sz w:val="22"/>
        </w:rPr>
        <w:t>(c) Tardive dyskinesia</w:t>
      </w:r>
    </w:p>
    <w:p>
      <w:pPr>
        <w:spacing w:after="0" w:before="0"/>
      </w:pPr>
      <w:r>
        <w:rPr>
          <w:b w:val="0"/>
          <w:sz w:val="22"/>
        </w:rPr>
        <w:t>(d) Dystonia</w:t>
      </w:r>
    </w:p>
    <w:p>
      <w:pPr>
        <w:spacing w:after="0" w:before="40"/>
      </w:pPr>
      <w:r>
        <w:rPr>
          <w:b/>
          <w:sz w:val="22"/>
        </w:rPr>
        <w:t>Answer: b</w:t>
      </w:r>
    </w:p>
    <w:p>
      <w:pPr>
        <w:spacing w:after="0" w:before="0"/>
      </w:pPr>
      <w:r>
        <w:rPr>
          <w:b w:val="0"/>
          <w:sz w:val="21"/>
        </w:rPr>
        <w:t>Solution: Akathisia is a distressing EPS characterized by subjective feelings of inner restlessness and objective motor restlessness (pacing, fidgeting).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India's first Bullet Train project is being constructed with technical and financial assistance from which country?</w:t>
      </w:r>
    </w:p>
    <w:p>
      <w:pPr>
        <w:spacing w:after="0" w:before="0"/>
      </w:pPr>
      <w:r>
        <w:rPr>
          <w:b w:val="0"/>
          <w:sz w:val="22"/>
        </w:rPr>
        <w:t>(a) China</w:t>
      </w:r>
    </w:p>
    <w:p>
      <w:pPr>
        <w:spacing w:after="0" w:before="0"/>
      </w:pPr>
      <w:r>
        <w:rPr>
          <w:b w:val="0"/>
          <w:sz w:val="22"/>
        </w:rPr>
        <w:t>(b) Japan</w:t>
      </w:r>
    </w:p>
    <w:p>
      <w:pPr>
        <w:spacing w:after="0" w:before="0"/>
      </w:pPr>
      <w:r>
        <w:rPr>
          <w:b w:val="0"/>
          <w:sz w:val="22"/>
        </w:rPr>
        <w:t>(c) USA</w:t>
      </w:r>
    </w:p>
    <w:p>
      <w:pPr>
        <w:spacing w:after="0" w:before="0"/>
      </w:pPr>
      <w:r>
        <w:rPr>
          <w:b w:val="0"/>
          <w:sz w:val="22"/>
        </w:rPr>
        <w:t>(d) Russia</w:t>
      </w:r>
    </w:p>
    <w:p>
      <w:pPr>
        <w:spacing w:after="0" w:before="40"/>
      </w:pPr>
      <w:r>
        <w:rPr>
          <w:b/>
          <w:sz w:val="22"/>
        </w:rPr>
        <w:t>Answer: b</w:t>
      </w:r>
    </w:p>
    <w:p>
      <w:pPr>
        <w:spacing w:after="0" w:before="0"/>
      </w:pPr>
      <w:r>
        <w:rPr>
          <w:b w:val="0"/>
          <w:sz w:val="21"/>
        </w:rPr>
        <w:t>Solution: The Mumbai-Ahmedabad High-Speed Rail (Bullet Train) corridor in India is being developed with financial and technical assistance from Japan.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IV Potassium Chloride (KCl) correction, which ECG change indicates hyperkalemia requiring immediate stoppage of infusion?</w:t>
      </w:r>
    </w:p>
    <w:p>
      <w:pPr>
        <w:spacing w:after="0" w:before="0"/>
      </w:pPr>
      <w:r>
        <w:rPr>
          <w:b w:val="0"/>
          <w:sz w:val="22"/>
        </w:rPr>
        <w:t>(a) Depressed ST segment</w:t>
      </w:r>
    </w:p>
    <w:p>
      <w:pPr>
        <w:spacing w:after="0" w:before="0"/>
      </w:pPr>
      <w:r>
        <w:rPr>
          <w:b w:val="0"/>
          <w:sz w:val="22"/>
        </w:rPr>
        <w:t>(b) Prominent U wave</w:t>
      </w:r>
    </w:p>
    <w:p>
      <w:pPr>
        <w:spacing w:after="0" w:before="0"/>
      </w:pPr>
      <w:r>
        <w:rPr>
          <w:b w:val="0"/>
          <w:sz w:val="22"/>
        </w:rPr>
        <w:t>(c) Shallow inverted T wave</w:t>
      </w:r>
    </w:p>
    <w:p>
      <w:pPr>
        <w:spacing w:after="0" w:before="0"/>
      </w:pPr>
      <w:r>
        <w:rPr>
          <w:b w:val="0"/>
          <w:sz w:val="22"/>
        </w:rPr>
        <w:t>(d) Tall peaked T waves</w:t>
      </w:r>
    </w:p>
    <w:p>
      <w:pPr>
        <w:spacing w:after="0" w:before="40"/>
      </w:pPr>
      <w:r>
        <w:rPr>
          <w:b/>
          <w:sz w:val="22"/>
        </w:rPr>
        <w:t>Answer: d</w:t>
      </w:r>
    </w:p>
    <w:p>
      <w:pPr>
        <w:spacing w:after="0" w:before="0"/>
      </w:pPr>
      <w:r>
        <w:rPr>
          <w:b w:val="0"/>
          <w:sz w:val="21"/>
        </w:rPr>
        <w:t>Solution: Tall peaked T waves are the earliest ECG sign of hyperkalemia. Immediate cessation of IV potassium infusion is required to avoid lethal dysrhythmias.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important nursing action before administering any medication is:</w:t>
      </w:r>
    </w:p>
    <w:p>
      <w:pPr>
        <w:spacing w:after="0" w:before="0"/>
      </w:pPr>
      <w:r>
        <w:rPr>
          <w:b w:val="0"/>
          <w:sz w:val="22"/>
        </w:rPr>
        <w:t>(a) Wash hands</w:t>
      </w:r>
    </w:p>
    <w:p>
      <w:pPr>
        <w:spacing w:after="0" w:before="0"/>
      </w:pPr>
      <w:r>
        <w:rPr>
          <w:b w:val="0"/>
          <w:sz w:val="22"/>
        </w:rPr>
        <w:t>(b) Check the expiry date</w:t>
      </w:r>
    </w:p>
    <w:p>
      <w:pPr>
        <w:spacing w:after="0" w:before="0"/>
      </w:pPr>
      <w:r>
        <w:rPr>
          <w:b w:val="0"/>
          <w:sz w:val="22"/>
        </w:rPr>
        <w:t>(c) Check the dose</w:t>
      </w:r>
    </w:p>
    <w:p>
      <w:pPr>
        <w:spacing w:after="0" w:before="0"/>
      </w:pPr>
      <w:r>
        <w:rPr>
          <w:b w:val="0"/>
          <w:sz w:val="22"/>
        </w:rPr>
        <w:t>(d) Identify the patient correctly</w:t>
      </w:r>
    </w:p>
    <w:p>
      <w:pPr>
        <w:spacing w:after="0" w:before="40"/>
      </w:pPr>
      <w:r>
        <w:rPr>
          <w:b/>
          <w:sz w:val="22"/>
        </w:rPr>
        <w:t>Answer: d</w:t>
      </w:r>
    </w:p>
    <w:p>
      <w:pPr>
        <w:spacing w:after="0" w:before="0"/>
      </w:pPr>
      <w:r>
        <w:rPr>
          <w:b w:val="0"/>
          <w:sz w:val="21"/>
        </w:rPr>
        <w:t>Solution: Correct patient identification (two identifiers) is the first and most vital check before drug administration.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To assess the pulse in child ____________ is most appropriate site</w:t>
      </w:r>
    </w:p>
    <w:p>
      <w:pPr>
        <w:spacing w:after="0" w:before="0"/>
      </w:pPr>
      <w:r>
        <w:rPr>
          <w:b w:val="0"/>
          <w:sz w:val="22"/>
        </w:rPr>
        <w:t>(a) Brachial</w:t>
      </w:r>
    </w:p>
    <w:p>
      <w:pPr>
        <w:spacing w:after="0" w:before="0"/>
      </w:pPr>
      <w:r>
        <w:rPr>
          <w:b w:val="0"/>
          <w:sz w:val="22"/>
        </w:rPr>
        <w:t>(b) Carotid</w:t>
      </w:r>
    </w:p>
    <w:p>
      <w:pPr>
        <w:spacing w:after="0" w:before="0"/>
      </w:pPr>
      <w:r>
        <w:rPr>
          <w:b w:val="0"/>
          <w:sz w:val="22"/>
        </w:rPr>
        <w:t>(c) Apical</w:t>
      </w:r>
    </w:p>
    <w:p>
      <w:pPr>
        <w:spacing w:after="0" w:before="0"/>
      </w:pPr>
      <w:r>
        <w:rPr>
          <w:b w:val="0"/>
          <w:sz w:val="22"/>
        </w:rPr>
        <w:t>(d) Femoral</w:t>
      </w:r>
    </w:p>
    <w:p>
      <w:pPr>
        <w:spacing w:after="0" w:before="40"/>
      </w:pPr>
      <w:r>
        <w:rPr>
          <w:b/>
          <w:sz w:val="22"/>
        </w:rPr>
        <w:t>Answer: c</w:t>
      </w:r>
    </w:p>
    <w:p>
      <w:pPr>
        <w:spacing w:after="0" w:before="0"/>
      </w:pPr>
      <w:r>
        <w:rPr>
          <w:b w:val="0"/>
          <w:sz w:val="21"/>
        </w:rPr>
        <w:t>Solution: The apical site is the most appropriate site to assess the pulse in a child (especially infants) as peripheral pulses are weak.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peritonitis perforation laparotomy surgery is conducted, Central line is administered in this case what is the most important significance of the central line administration here ?</w:t>
      </w:r>
    </w:p>
    <w:p>
      <w:pPr>
        <w:spacing w:after="0" w:before="0"/>
      </w:pPr>
      <w:r>
        <w:rPr>
          <w:b w:val="0"/>
          <w:sz w:val="22"/>
        </w:rPr>
        <w:t>(a) Spo2 Measurement</w:t>
      </w:r>
    </w:p>
    <w:p>
      <w:pPr>
        <w:spacing w:after="0" w:before="0"/>
      </w:pPr>
      <w:r>
        <w:rPr>
          <w:b w:val="0"/>
          <w:sz w:val="22"/>
        </w:rPr>
        <w:t>(b) Fluid administration</w:t>
      </w:r>
    </w:p>
    <w:p>
      <w:pPr>
        <w:spacing w:after="0" w:before="0"/>
      </w:pPr>
      <w:r>
        <w:rPr>
          <w:b w:val="0"/>
          <w:sz w:val="22"/>
        </w:rPr>
        <w:t>(c) CVP Measurement</w:t>
      </w:r>
    </w:p>
    <w:p>
      <w:pPr>
        <w:spacing w:after="0" w:before="0"/>
      </w:pPr>
      <w:r>
        <w:rPr>
          <w:b w:val="0"/>
          <w:sz w:val="22"/>
        </w:rPr>
        <w:t>(d) ABG Analysis</w:t>
      </w:r>
    </w:p>
    <w:p>
      <w:pPr>
        <w:spacing w:after="0" w:before="40"/>
      </w:pPr>
      <w:r>
        <w:rPr>
          <w:b/>
          <w:sz w:val="22"/>
        </w:rPr>
        <w:t>Answer: c</w:t>
      </w:r>
    </w:p>
    <w:p>
      <w:pPr>
        <w:spacing w:after="0" w:before="0"/>
      </w:pPr>
      <w:r>
        <w:rPr>
          <w:b w:val="0"/>
          <w:sz w:val="21"/>
        </w:rPr>
        <w:t>Solution: A central line is used to measure central venous pressure (CVP), which guides fluid therapy in peritonitis/laparotomy.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name of the outer lip like structure that protects the entrance to the female reproductive system?</w:t>
      </w:r>
    </w:p>
    <w:p>
      <w:pPr>
        <w:spacing w:after="0" w:before="0"/>
      </w:pPr>
      <w:r>
        <w:rPr>
          <w:b w:val="0"/>
          <w:sz w:val="22"/>
        </w:rPr>
        <w:t>(a) Hymen</w:t>
      </w:r>
    </w:p>
    <w:p>
      <w:pPr>
        <w:spacing w:after="0" w:before="0"/>
      </w:pPr>
      <w:r>
        <w:rPr>
          <w:b w:val="0"/>
          <w:sz w:val="22"/>
        </w:rPr>
        <w:t>(b) Labia</w:t>
      </w:r>
    </w:p>
    <w:p>
      <w:pPr>
        <w:spacing w:after="0" w:before="0"/>
      </w:pPr>
      <w:r>
        <w:rPr>
          <w:b w:val="0"/>
          <w:sz w:val="22"/>
        </w:rPr>
        <w:t>(c) Cervix</w:t>
      </w:r>
    </w:p>
    <w:p>
      <w:pPr>
        <w:spacing w:after="0" w:before="0"/>
      </w:pPr>
      <w:r>
        <w:rPr>
          <w:b w:val="0"/>
          <w:sz w:val="22"/>
        </w:rPr>
        <w:t>(d) None of the above</w:t>
      </w:r>
    </w:p>
    <w:p>
      <w:pPr>
        <w:spacing w:after="0" w:before="40"/>
      </w:pPr>
      <w:r>
        <w:rPr>
          <w:b/>
          <w:sz w:val="22"/>
        </w:rPr>
        <w:t>Answer: b</w:t>
      </w:r>
    </w:p>
    <w:p>
      <w:pPr>
        <w:spacing w:after="0" w:before="0"/>
      </w:pPr>
      <w:r>
        <w:rPr>
          <w:b w:val="0"/>
          <w:sz w:val="21"/>
        </w:rPr>
        <w:t>Solution: The labia (labia majora and minora) are the outer lip-like folds protecting the entrance of the female reproductive tract.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color bag is used to discard resection of gangrene part of the patient?</w:t>
      </w:r>
    </w:p>
    <w:p>
      <w:pPr>
        <w:spacing w:after="0" w:before="0"/>
      </w:pPr>
      <w:r>
        <w:rPr>
          <w:b w:val="0"/>
          <w:sz w:val="22"/>
        </w:rPr>
        <w:t>(a) Red</w:t>
      </w:r>
    </w:p>
    <w:p>
      <w:pPr>
        <w:spacing w:after="0" w:before="0"/>
      </w:pPr>
      <w:r>
        <w:rPr>
          <w:b w:val="0"/>
          <w:sz w:val="22"/>
        </w:rPr>
        <w:t>(b) Blue</w:t>
      </w:r>
    </w:p>
    <w:p>
      <w:pPr>
        <w:spacing w:after="0" w:before="0"/>
      </w:pPr>
      <w:r>
        <w:rPr>
          <w:b w:val="0"/>
          <w:sz w:val="22"/>
        </w:rPr>
        <w:t>(c) Yellow</w:t>
      </w:r>
    </w:p>
    <w:p>
      <w:pPr>
        <w:spacing w:after="0" w:before="0"/>
      </w:pPr>
      <w:r>
        <w:rPr>
          <w:b w:val="0"/>
          <w:sz w:val="22"/>
        </w:rPr>
        <w:t>(d) Black</w:t>
      </w:r>
    </w:p>
    <w:p>
      <w:pPr>
        <w:spacing w:after="0" w:before="40"/>
      </w:pPr>
      <w:r>
        <w:rPr>
          <w:b/>
          <w:sz w:val="22"/>
        </w:rPr>
        <w:t>Answer: c</w:t>
      </w:r>
    </w:p>
    <w:p>
      <w:pPr>
        <w:spacing w:after="0" w:before="0"/>
      </w:pPr>
      <w:r>
        <w:rPr>
          <w:b w:val="0"/>
          <w:sz w:val="21"/>
        </w:rPr>
        <w:t>Solution: The color bag that is typically used to discard the resection of gangrene part of a patient is the yellow bag (Option C). The yellow bag, also known as a biohazard bag or infectious waste bag, is specifically designated for the disposal of potentially infectious materials, including tissues and body parts removed during surgical procedures. Gangrene refers to the necrosis or death of body tissue, usually due to a lack of blood supply. When a resection of gangrenous tissue is performed, the removed tissue is considered potentially infectious and should be placed in a yellow bag for proper disposal according to healthcare waste management protocols. This helps to ensure the containment and safe disposal of biohazardous materials. It is important for healthcare facilities to adhere to local regulations and guidelines for the proper handling and disposal of different types of waste.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family planning counseling, which method offers the most reliable protection against BOTH pregnancy and sexually transmitted infections?</w:t>
      </w:r>
    </w:p>
    <w:p>
      <w:pPr>
        <w:spacing w:after="0" w:before="0"/>
      </w:pPr>
      <w:r>
        <w:rPr>
          <w:b w:val="0"/>
          <w:sz w:val="22"/>
        </w:rPr>
        <w:t>(a) Male condom</w:t>
      </w:r>
    </w:p>
    <w:p>
      <w:pPr>
        <w:spacing w:after="0" w:before="0"/>
      </w:pPr>
      <w:r>
        <w:rPr>
          <w:b w:val="0"/>
          <w:sz w:val="22"/>
        </w:rPr>
        <w:t>(b) Intrauterine contraceptive device</w:t>
      </w:r>
    </w:p>
    <w:p>
      <w:pPr>
        <w:spacing w:after="0" w:before="0"/>
      </w:pPr>
      <w:r>
        <w:rPr>
          <w:b w:val="0"/>
          <w:sz w:val="22"/>
        </w:rPr>
        <w:t>(c) Coitus interruptus (withdrawal)</w:t>
      </w:r>
    </w:p>
    <w:p>
      <w:pPr>
        <w:spacing w:after="0" w:before="0"/>
      </w:pPr>
      <w:r>
        <w:rPr>
          <w:b w:val="0"/>
          <w:sz w:val="22"/>
        </w:rPr>
        <w:t>(d) Oral contraceptive pills</w:t>
      </w:r>
    </w:p>
    <w:p>
      <w:pPr>
        <w:spacing w:after="0" w:before="40"/>
      </w:pPr>
      <w:r>
        <w:rPr>
          <w:b/>
          <w:sz w:val="22"/>
        </w:rPr>
        <w:t>Answer: a</w:t>
      </w:r>
    </w:p>
    <w:p>
      <w:pPr>
        <w:spacing w:after="0" w:before="0"/>
      </w:pPr>
      <w:r>
        <w:rPr>
          <w:b w:val="0"/>
          <w:sz w:val="21"/>
        </w:rPr>
        <w:t>Solution: Barrier methods, especially the male condom, are the only widely available methods that protect against both pregnancy and STIs when used consistently.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hypocalcemia is:</w:t>
      </w:r>
    </w:p>
    <w:p>
      <w:pPr>
        <w:spacing w:after="0" w:before="0"/>
      </w:pPr>
      <w:r>
        <w:rPr>
          <w:b w:val="0"/>
          <w:sz w:val="22"/>
        </w:rPr>
        <w:t>(a) Twitching</w:t>
      </w:r>
    </w:p>
    <w:p>
      <w:pPr>
        <w:spacing w:after="0" w:before="0"/>
      </w:pPr>
      <w:r>
        <w:rPr>
          <w:b w:val="0"/>
          <w:sz w:val="22"/>
        </w:rPr>
        <w:t>(b) Negative Chvostek's sign</w:t>
      </w:r>
    </w:p>
    <w:p>
      <w:pPr>
        <w:spacing w:after="0" w:before="0"/>
      </w:pPr>
      <w:r>
        <w:rPr>
          <w:b w:val="0"/>
          <w:sz w:val="22"/>
        </w:rPr>
        <w:t>(c) Exaggerated DTRs</w:t>
      </w:r>
    </w:p>
    <w:p>
      <w:pPr>
        <w:spacing w:after="0" w:before="0"/>
      </w:pPr>
      <w:r>
        <w:rPr>
          <w:b w:val="0"/>
          <w:sz w:val="22"/>
        </w:rPr>
        <w:t>(d) Weakness</w:t>
      </w:r>
    </w:p>
    <w:p>
      <w:pPr>
        <w:spacing w:after="0" w:before="40"/>
      </w:pPr>
      <w:r>
        <w:rPr>
          <w:b/>
          <w:sz w:val="22"/>
        </w:rPr>
        <w:t>Answer: a</w:t>
      </w:r>
    </w:p>
    <w:p>
      <w:pPr>
        <w:spacing w:after="0" w:before="0"/>
      </w:pPr>
      <w:r>
        <w:rPr>
          <w:b w:val="0"/>
          <w:sz w:val="21"/>
        </w:rPr>
        <w:t>Solution: Twitching (neuromuscular irritability) is the earliest sign of hypocalcemia.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preparing to administer a viscous, irritating drug by IM injection. Which technique is most appropriate?</w:t>
      </w:r>
    </w:p>
    <w:p>
      <w:pPr>
        <w:spacing w:after="0" w:before="0"/>
      </w:pPr>
      <w:r>
        <w:rPr>
          <w:b w:val="0"/>
          <w:sz w:val="22"/>
        </w:rPr>
        <w:t>(a) Aspirate and inject rapidly</w:t>
      </w:r>
    </w:p>
    <w:p>
      <w:pPr>
        <w:spacing w:after="0" w:before="0"/>
      </w:pPr>
      <w:r>
        <w:rPr>
          <w:b w:val="0"/>
          <w:sz w:val="22"/>
        </w:rPr>
        <w:t>(b) Use the Z-track method</w:t>
      </w:r>
    </w:p>
    <w:p>
      <w:pPr>
        <w:spacing w:after="0" w:before="0"/>
      </w:pPr>
      <w:r>
        <w:rPr>
          <w:b w:val="0"/>
          <w:sz w:val="22"/>
        </w:rPr>
        <w:t>(c) Inject 2 mL into the deltoid</w:t>
      </w:r>
    </w:p>
    <w:p>
      <w:pPr>
        <w:spacing w:after="0" w:before="0"/>
      </w:pPr>
      <w:r>
        <w:rPr>
          <w:b w:val="0"/>
          <w:sz w:val="22"/>
        </w:rPr>
        <w:t>(d) Use the air-lock technique with a 45° angle</w:t>
      </w:r>
    </w:p>
    <w:p>
      <w:pPr>
        <w:spacing w:after="0" w:before="40"/>
      </w:pPr>
      <w:r>
        <w:rPr>
          <w:b/>
          <w:sz w:val="22"/>
        </w:rPr>
        <w:t>Answer: b</w:t>
      </w:r>
    </w:p>
    <w:p>
      <w:pPr>
        <w:spacing w:after="0" w:before="0"/>
      </w:pPr>
      <w:r>
        <w:rPr>
          <w:b w:val="0"/>
          <w:sz w:val="21"/>
        </w:rPr>
        <w:t>Solution: Z-track injection seals the drug track and prevents leakage of irritating drugs into subcutaneous tissue; the ventrogluteal site is preferred for such drugs.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nursing action following a needle stick injury from a HIV-positive patient?</w:t>
      </w:r>
    </w:p>
    <w:p>
      <w:pPr>
        <w:spacing w:after="0" w:before="0"/>
      </w:pPr>
      <w:r>
        <w:rPr>
          <w:b w:val="0"/>
          <w:sz w:val="22"/>
        </w:rPr>
        <w:t>(a) Squeeze out the blood forcefully</w:t>
      </w:r>
    </w:p>
    <w:p>
      <w:pPr>
        <w:spacing w:after="0" w:before="0"/>
      </w:pPr>
      <w:r>
        <w:rPr>
          <w:b w:val="0"/>
          <w:sz w:val="22"/>
        </w:rPr>
        <w:t>(b) Give incision to the injury</w:t>
      </w:r>
    </w:p>
    <w:p>
      <w:pPr>
        <w:spacing w:after="0" w:before="0"/>
      </w:pPr>
      <w:r>
        <w:rPr>
          <w:b w:val="0"/>
          <w:sz w:val="22"/>
        </w:rPr>
        <w:t>(c) Wash immediately with soap and running water</w:t>
      </w:r>
    </w:p>
    <w:p>
      <w:pPr>
        <w:spacing w:after="0" w:before="0"/>
      </w:pPr>
      <w:r>
        <w:rPr>
          <w:b w:val="0"/>
          <w:sz w:val="22"/>
        </w:rPr>
        <w:t>(d) Suck out the blood</w:t>
      </w:r>
    </w:p>
    <w:p>
      <w:pPr>
        <w:spacing w:after="0" w:before="40"/>
      </w:pPr>
      <w:r>
        <w:rPr>
          <w:b/>
          <w:sz w:val="22"/>
        </w:rPr>
        <w:t>Answer: c</w:t>
      </w:r>
    </w:p>
    <w:p>
      <w:pPr>
        <w:spacing w:after="0" w:before="0"/>
      </w:pPr>
      <w:r>
        <w:rPr>
          <w:b w:val="0"/>
          <w:sz w:val="21"/>
        </w:rPr>
        <w:t>Solution: Immediate management of occupational exposure involves washing the affected site thoroughly with soap and running water. Do not scrub or squeeze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best things to break chain of infection?</w:t>
      </w:r>
    </w:p>
    <w:p>
      <w:pPr>
        <w:spacing w:after="0" w:before="0"/>
      </w:pPr>
      <w:r>
        <w:rPr>
          <w:b w:val="0"/>
          <w:sz w:val="22"/>
        </w:rPr>
        <w:t>(a) Hand wash</w:t>
      </w:r>
    </w:p>
    <w:p>
      <w:pPr>
        <w:spacing w:after="0" w:before="0"/>
      </w:pPr>
      <w:r>
        <w:rPr>
          <w:b w:val="0"/>
          <w:sz w:val="22"/>
        </w:rPr>
        <w:t>(b) Gown and glows for respiratory patient</w:t>
      </w:r>
    </w:p>
    <w:p>
      <w:pPr>
        <w:spacing w:after="0" w:before="0"/>
      </w:pPr>
      <w:r>
        <w:rPr>
          <w:b w:val="0"/>
          <w:sz w:val="22"/>
        </w:rPr>
        <w:t>(c) Gloves for all patient before body touch</w:t>
      </w:r>
    </w:p>
    <w:p>
      <w:pPr>
        <w:spacing w:after="0" w:before="0"/>
      </w:pPr>
      <w:r>
        <w:rPr>
          <w:b w:val="0"/>
          <w:sz w:val="22"/>
        </w:rPr>
        <w:t>(d) All of the above</w:t>
      </w:r>
    </w:p>
    <w:p>
      <w:pPr>
        <w:spacing w:after="0" w:before="40"/>
      </w:pPr>
      <w:r>
        <w:rPr>
          <w:b/>
          <w:sz w:val="22"/>
        </w:rPr>
        <w:t>Answer: a</w:t>
      </w:r>
    </w:p>
    <w:p>
      <w:pPr>
        <w:spacing w:after="0" w:before="0"/>
      </w:pPr>
      <w:r>
        <w:rPr>
          <w:b w:val="0"/>
          <w:sz w:val="21"/>
        </w:rPr>
        <w:t>Solution: The spread of an infection within a community is described as a "chain," several interconnected steps that describe how a pathogen moves about. Infection control and contact tracing are meant to break the chain, preventing a pathogen from spreading. Hand hygiene plays an important role in spreading germs and is a very effective way to control the spread of chain of infection includes washing hands with soap and water, or using an alcohol-based hand rub.</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Brush two times</w:t>
      </w:r>
    </w:p>
    <w:p>
      <w:pPr>
        <w:spacing w:after="0" w:before="0"/>
      </w:pPr>
      <w:r>
        <w:rPr>
          <w:b w:val="0"/>
          <w:sz w:val="22"/>
        </w:rPr>
        <w:t>(b) Sitz bath</w:t>
      </w:r>
    </w:p>
    <w:p>
      <w:pPr>
        <w:spacing w:after="0" w:before="0"/>
      </w:pPr>
      <w:r>
        <w:rPr>
          <w:b w:val="0"/>
          <w:sz w:val="22"/>
        </w:rPr>
        <w:t>(c) Hand washing</w:t>
      </w:r>
    </w:p>
    <w:p>
      <w:pPr>
        <w:spacing w:after="0" w:before="0"/>
      </w:pPr>
      <w:r>
        <w:rPr>
          <w:b w:val="0"/>
          <w:sz w:val="22"/>
        </w:rPr>
        <w:t>(d) Avoid crowded place</w:t>
      </w:r>
    </w:p>
    <w:p>
      <w:pPr>
        <w:spacing w:after="0" w:before="40"/>
      </w:pPr>
      <w:r>
        <w:rPr>
          <w:b/>
          <w:sz w:val="22"/>
        </w:rPr>
        <w:t>Answer: b</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normal newborn hemoglobin level is:</w:t>
      </w:r>
    </w:p>
    <w:p>
      <w:pPr>
        <w:spacing w:after="0" w:before="0"/>
      </w:pPr>
      <w:r>
        <w:rPr>
          <w:b w:val="0"/>
          <w:sz w:val="22"/>
        </w:rPr>
        <w:t>(a) 10-12 g/dl</w:t>
      </w:r>
    </w:p>
    <w:p>
      <w:pPr>
        <w:spacing w:after="0" w:before="0"/>
      </w:pPr>
      <w:r>
        <w:rPr>
          <w:b w:val="0"/>
          <w:sz w:val="22"/>
        </w:rPr>
        <w:t>(b) 17-20 g/dl</w:t>
      </w:r>
    </w:p>
    <w:p>
      <w:pPr>
        <w:spacing w:after="0" w:before="0"/>
      </w:pPr>
      <w:r>
        <w:rPr>
          <w:b w:val="0"/>
          <w:sz w:val="22"/>
        </w:rPr>
        <w:t>(c) 12-14 g/dl</w:t>
      </w:r>
    </w:p>
    <w:p>
      <w:pPr>
        <w:spacing w:after="0" w:before="0"/>
      </w:pPr>
      <w:r>
        <w:rPr>
          <w:b w:val="0"/>
          <w:sz w:val="22"/>
        </w:rPr>
        <w:t>(d) 20-25 g/dl</w:t>
      </w:r>
    </w:p>
    <w:p>
      <w:pPr>
        <w:spacing w:after="0" w:before="40"/>
      </w:pPr>
      <w:r>
        <w:rPr>
          <w:b/>
          <w:sz w:val="22"/>
        </w:rPr>
        <w:t>Answer: b</w:t>
      </w:r>
    </w:p>
    <w:p>
      <w:pPr>
        <w:spacing w:after="0" w:before="0"/>
      </w:pPr>
      <w:r>
        <w:rPr>
          <w:b w:val="0"/>
          <w:sz w:val="21"/>
        </w:rPr>
        <w:t>Solution: The normal newborn haemoglobin level is 17-20 g/dl.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apply pressure to the wound</w:t>
      </w:r>
    </w:p>
    <w:p>
      <w:pPr>
        <w:spacing w:after="0" w:before="0"/>
      </w:pPr>
      <w:r>
        <w:rPr>
          <w:b w:val="0"/>
          <w:sz w:val="22"/>
        </w:rPr>
        <w:t>(b) put a dressing over the wound</w:t>
      </w:r>
    </w:p>
    <w:p>
      <w:pPr>
        <w:spacing w:after="0" w:before="0"/>
      </w:pPr>
      <w:r>
        <w:rPr>
          <w:b w:val="0"/>
          <w:sz w:val="22"/>
        </w:rPr>
        <w:t>(c) cover it with a pad of soft material</w:t>
      </w:r>
    </w:p>
    <w:p>
      <w:pPr>
        <w:spacing w:after="0" w:before="0"/>
      </w:pPr>
      <w:r>
        <w:rPr>
          <w:b w:val="0"/>
          <w:sz w:val="22"/>
        </w:rPr>
        <w:t>(d) call for medical assistance</w:t>
      </w:r>
    </w:p>
    <w:p>
      <w:pPr>
        <w:spacing w:after="0" w:before="40"/>
      </w:pPr>
      <w:r>
        <w:rPr>
          <w:b/>
          <w:sz w:val="22"/>
        </w:rPr>
        <w:t>Answer: a</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is kept in freezer compartment in refrigerator?</w:t>
      </w:r>
    </w:p>
    <w:p>
      <w:pPr>
        <w:spacing w:after="0" w:before="0"/>
      </w:pPr>
      <w:r>
        <w:rPr>
          <w:b w:val="0"/>
          <w:sz w:val="22"/>
        </w:rPr>
        <w:t>(a) DPT</w:t>
      </w:r>
    </w:p>
    <w:p>
      <w:pPr>
        <w:spacing w:after="0" w:before="0"/>
      </w:pPr>
      <w:r>
        <w:rPr>
          <w:b w:val="0"/>
          <w:sz w:val="22"/>
        </w:rPr>
        <w:t>(b) T.T</w:t>
      </w:r>
    </w:p>
    <w:p>
      <w:pPr>
        <w:spacing w:after="0" w:before="0"/>
      </w:pPr>
      <w:r>
        <w:rPr>
          <w:b w:val="0"/>
          <w:sz w:val="22"/>
        </w:rPr>
        <w:t>(c) Measles</w:t>
      </w:r>
    </w:p>
    <w:p>
      <w:pPr>
        <w:spacing w:after="0" w:before="0"/>
      </w:pPr>
      <w:r>
        <w:rPr>
          <w:b w:val="0"/>
          <w:sz w:val="22"/>
        </w:rPr>
        <w:t>(d) Hepatitis B</w:t>
      </w:r>
    </w:p>
    <w:p>
      <w:pPr>
        <w:spacing w:after="0" w:before="40"/>
      </w:pPr>
      <w:r>
        <w:rPr>
          <w:b/>
          <w:sz w:val="22"/>
        </w:rPr>
        <w:t>Answer: b</w:t>
      </w:r>
    </w:p>
    <w:p>
      <w:pPr>
        <w:spacing w:after="0" w:before="0"/>
      </w:pPr>
      <w:r>
        <w:rPr>
          <w:b w:val="0"/>
          <w:sz w:val="21"/>
        </w:rPr>
        <w:t>Solution: The vaccine that is kept in the freezer compartment of a refrigerator is the Measles vaccine. Measles vaccine, like many other live vaccines, needs to be stored at low temperatures to maintain its efficacy. The recommended storage temperature for the measles vaccine is between -50°C and -15°C. This temperature range ensures that the vaccine remains stable and retains its potency. The freezer compartment of a refrigerator provides the necessary cold storage for vaccines that require ultra-low temperatures. Important instruments in OBE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normal pulse rate of a newborn is:</w:t>
      </w:r>
    </w:p>
    <w:p>
      <w:pPr>
        <w:spacing w:after="0" w:before="0"/>
      </w:pPr>
      <w:r>
        <w:rPr>
          <w:b w:val="0"/>
          <w:sz w:val="22"/>
        </w:rPr>
        <w:t>(a) 60-80 beats/min</w:t>
      </w:r>
    </w:p>
    <w:p>
      <w:pPr>
        <w:spacing w:after="0" w:before="0"/>
      </w:pPr>
      <w:r>
        <w:rPr>
          <w:b w:val="0"/>
          <w:sz w:val="22"/>
        </w:rPr>
        <w:t>(b) 160-200 beats/min</w:t>
      </w:r>
    </w:p>
    <w:p>
      <w:pPr>
        <w:spacing w:after="0" w:before="0"/>
      </w:pPr>
      <w:r>
        <w:rPr>
          <w:b w:val="0"/>
          <w:sz w:val="22"/>
        </w:rPr>
        <w:t>(c) 100-160 beats/min</w:t>
      </w:r>
    </w:p>
    <w:p>
      <w:pPr>
        <w:spacing w:after="0" w:before="0"/>
      </w:pPr>
      <w:r>
        <w:rPr>
          <w:b w:val="0"/>
          <w:sz w:val="22"/>
        </w:rPr>
        <w:t>(d) 80-100 beats/min</w:t>
      </w:r>
    </w:p>
    <w:p>
      <w:pPr>
        <w:spacing w:after="0" w:before="40"/>
      </w:pPr>
      <w:r>
        <w:rPr>
          <w:b/>
          <w:sz w:val="22"/>
        </w:rPr>
        <w:t>Answer: c</w:t>
      </w:r>
    </w:p>
    <w:p>
      <w:pPr>
        <w:spacing w:after="0" w:before="0"/>
      </w:pPr>
      <w:r>
        <w:rPr>
          <w:b w:val="0"/>
          <w:sz w:val="21"/>
        </w:rPr>
        <w:t>Solution: The normal newborn heart rate is 100-160 beats per minute (may reach 180 during crying).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develops anaphylaxis after a bee sting. What is the nurse's priority intervention?</w:t>
      </w:r>
    </w:p>
    <w:p>
      <w:pPr>
        <w:spacing w:after="0" w:before="0"/>
      </w:pPr>
      <w:r>
        <w:rPr>
          <w:b w:val="0"/>
          <w:sz w:val="22"/>
        </w:rPr>
        <w:t>(a) Give an oral antihistamine</w:t>
      </w:r>
    </w:p>
    <w:p>
      <w:pPr>
        <w:spacing w:after="0" w:before="0"/>
      </w:pPr>
      <w:r>
        <w:rPr>
          <w:b w:val="0"/>
          <w:sz w:val="22"/>
        </w:rPr>
        <w:t>(b) Apply oxygen by face mask</w:t>
      </w:r>
    </w:p>
    <w:p>
      <w:pPr>
        <w:spacing w:after="0" w:before="0"/>
      </w:pPr>
      <w:r>
        <w:rPr>
          <w:b w:val="0"/>
          <w:sz w:val="22"/>
        </w:rPr>
        <w:t>(c) Establish IV access first</w:t>
      </w:r>
    </w:p>
    <w:p>
      <w:pPr>
        <w:spacing w:after="0" w:before="0"/>
      </w:pPr>
      <w:r>
        <w:rPr>
          <w:b w:val="0"/>
          <w:sz w:val="22"/>
        </w:rPr>
        <w:t>(d) Administer epinephrine IM immediately</w:t>
      </w:r>
    </w:p>
    <w:p>
      <w:pPr>
        <w:spacing w:after="0" w:before="40"/>
      </w:pPr>
      <w:r>
        <w:rPr>
          <w:b/>
          <w:sz w:val="22"/>
        </w:rPr>
        <w:t>Answer: d</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newly applied below-elbow cast reports severe pain and numbness in the fingers. Which assessment finding requires IMMEDIATE action?</w:t>
      </w:r>
    </w:p>
    <w:p>
      <w:pPr>
        <w:spacing w:after="0" w:before="0"/>
      </w:pPr>
      <w:r>
        <w:rPr>
          <w:b w:val="0"/>
          <w:sz w:val="22"/>
        </w:rPr>
        <w:t>(a) The cast is still damp</w:t>
      </w:r>
    </w:p>
    <w:p>
      <w:pPr>
        <w:spacing w:after="0" w:before="0"/>
      </w:pPr>
      <w:r>
        <w:rPr>
          <w:b w:val="0"/>
          <w:sz w:val="22"/>
        </w:rPr>
        <w:t>(b) Capillary refill of 4 seconds with dusky fingers</w:t>
      </w:r>
    </w:p>
    <w:p>
      <w:pPr>
        <w:spacing w:after="0" w:before="0"/>
      </w:pPr>
      <w:r>
        <w:rPr>
          <w:b w:val="0"/>
          <w:sz w:val="22"/>
        </w:rPr>
        <w:t>(c) Slight swelling of the fingers</w:t>
      </w:r>
    </w:p>
    <w:p>
      <w:pPr>
        <w:spacing w:after="0" w:before="0"/>
      </w:pPr>
      <w:r>
        <w:rPr>
          <w:b w:val="0"/>
          <w:sz w:val="22"/>
        </w:rPr>
        <w:t>(d) Mild itching under the cast</w:t>
      </w:r>
    </w:p>
    <w:p>
      <w:pPr>
        <w:spacing w:after="0" w:before="40"/>
      </w:pPr>
      <w:r>
        <w:rPr>
          <w:b/>
          <w:sz w:val="22"/>
        </w:rPr>
        <w:t>Answer: b</w:t>
      </w:r>
    </w:p>
    <w:p>
      <w:pPr>
        <w:spacing w:after="0" w:before="0"/>
      </w:pPr>
      <w:r>
        <w:rPr>
          <w:b w:val="0"/>
          <w:sz w:val="21"/>
        </w:rPr>
        <w:t>Solution: Prolonged capillary refill with duskiness indicates circulatory compromise/compartment syndrome; the cast must be loosened and the provider notified immediately.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