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regular monitoring of blood pressure is under which level of prevention?</w:t>
      </w:r>
    </w:p>
    <w:p>
      <w:pPr>
        <w:spacing w:after="0" w:before="0"/>
      </w:pPr>
      <w:r>
        <w:rPr>
          <w:b w:val="0"/>
          <w:sz w:val="22"/>
        </w:rPr>
        <w:t>(a) Secondary</w:t>
      </w:r>
    </w:p>
    <w:p>
      <w:pPr>
        <w:spacing w:after="0" w:before="0"/>
      </w:pPr>
      <w:r>
        <w:rPr>
          <w:b w:val="0"/>
          <w:sz w:val="22"/>
        </w:rPr>
        <w:t>(b) Primary</w:t>
      </w:r>
    </w:p>
    <w:p>
      <w:pPr>
        <w:spacing w:after="0" w:before="0"/>
      </w:pPr>
      <w:r>
        <w:rPr>
          <w:b w:val="0"/>
          <w:sz w:val="22"/>
        </w:rPr>
        <w:t>(c) Primordial</w:t>
      </w:r>
    </w:p>
    <w:p>
      <w:pPr>
        <w:spacing w:after="0" w:before="0"/>
      </w:pPr>
      <w:r>
        <w:rPr>
          <w:b w:val="0"/>
          <w:sz w:val="22"/>
        </w:rPr>
        <w:t>(d) Tertiary</w:t>
      </w:r>
    </w:p>
    <w:p>
      <w:pPr>
        <w:spacing w:after="0" w:before="40"/>
      </w:pPr>
      <w:r>
        <w:rPr>
          <w:b/>
          <w:sz w:val="22"/>
        </w:rPr>
        <w:t>Answer: a</w:t>
      </w:r>
    </w:p>
    <w:p>
      <w:pPr>
        <w:spacing w:after="0" w:before="0"/>
      </w:pPr>
      <w:r>
        <w:rPr>
          <w:b w:val="0"/>
          <w:sz w:val="21"/>
        </w:rPr>
        <w:t>Solution: Regular blood pressure monitoring for early detection of hypertension is an example of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intervention for a patient with tension pneumothorax?</w:t>
      </w:r>
    </w:p>
    <w:p>
      <w:pPr>
        <w:spacing w:after="0" w:before="0"/>
      </w:pPr>
      <w:r>
        <w:rPr>
          <w:b w:val="0"/>
          <w:sz w:val="22"/>
        </w:rPr>
        <w:t>(a) Insert a chest tube in the 6th-7th intercostal space</w:t>
      </w:r>
    </w:p>
    <w:p>
      <w:pPr>
        <w:spacing w:after="0" w:before="0"/>
      </w:pPr>
      <w:r>
        <w:rPr>
          <w:b w:val="0"/>
          <w:sz w:val="22"/>
        </w:rPr>
        <w:t>(b) Needle decompression at the 2nd intercostal space, midclavicular line</w:t>
      </w:r>
    </w:p>
    <w:p>
      <w:pPr>
        <w:spacing w:after="0" w:before="0"/>
      </w:pPr>
      <w:r>
        <w:rPr>
          <w:b w:val="0"/>
          <w:sz w:val="22"/>
        </w:rPr>
        <w:t>(c) Insert a chest tube in the 8th-9th intercostal space</w:t>
      </w:r>
    </w:p>
    <w:p>
      <w:pPr>
        <w:spacing w:after="0" w:before="0"/>
      </w:pPr>
      <w:r>
        <w:rPr>
          <w:b w:val="0"/>
          <w:sz w:val="22"/>
        </w:rPr>
        <w:t>(d) No intervention is needed</w:t>
      </w:r>
    </w:p>
    <w:p>
      <w:pPr>
        <w:spacing w:after="0" w:before="40"/>
      </w:pPr>
      <w:r>
        <w:rPr>
          <w:b/>
          <w:sz w:val="22"/>
        </w:rPr>
        <w:t>Answer: b</w:t>
      </w:r>
    </w:p>
    <w:p>
      <w:pPr>
        <w:spacing w:after="0" w:before="0"/>
      </w:pPr>
      <w:r>
        <w:rPr>
          <w:b w:val="0"/>
          <w:sz w:val="21"/>
        </w:rPr>
        <w:t>Solution: Tension pneumothorax is a life-threatening emergency; immediate needle decompression is done at the 2nd intercostal space, midclavicular line, followed by chest tube insertion.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at 35 weeks of gestation and calls the nurse at the clinic and reports a sudden discharge of fluid from the vagina. Based on the data provided, the suspects which of the following conditions?</w:t>
      </w:r>
    </w:p>
    <w:p>
      <w:pPr>
        <w:spacing w:after="0" w:before="0"/>
      </w:pPr>
      <w:r>
        <w:rPr>
          <w:b w:val="0"/>
          <w:sz w:val="22"/>
        </w:rPr>
        <w:t>(a) Preterm labor</w:t>
      </w:r>
    </w:p>
    <w:p>
      <w:pPr>
        <w:spacing w:after="0" w:before="0"/>
      </w:pPr>
      <w:r>
        <w:rPr>
          <w:b w:val="0"/>
          <w:sz w:val="22"/>
        </w:rPr>
        <w:t>(b) Intrauterine fetal demise</w:t>
      </w:r>
    </w:p>
    <w:p>
      <w:pPr>
        <w:spacing w:after="0" w:before="0"/>
      </w:pPr>
      <w:r>
        <w:rPr>
          <w:b w:val="0"/>
          <w:sz w:val="22"/>
        </w:rPr>
        <w:t>(c) Miscarriage</w:t>
      </w:r>
    </w:p>
    <w:p>
      <w:pPr>
        <w:spacing w:after="0" w:before="0"/>
      </w:pPr>
      <w:r>
        <w:rPr>
          <w:b w:val="0"/>
          <w:sz w:val="22"/>
        </w:rPr>
        <w:t>(d) Premature rupture of the membranes</w:t>
      </w:r>
    </w:p>
    <w:p>
      <w:pPr>
        <w:spacing w:after="0" w:before="40"/>
      </w:pPr>
      <w:r>
        <w:rPr>
          <w:b/>
          <w:sz w:val="22"/>
        </w:rPr>
        <w:t>Answer: d</w:t>
      </w:r>
    </w:p>
    <w:p>
      <w:pPr>
        <w:spacing w:after="0" w:before="0"/>
      </w:pPr>
      <w:r>
        <w:rPr>
          <w:b w:val="0"/>
          <w:sz w:val="21"/>
        </w:rPr>
        <w:t>Solution: Sudden gush of fluid per vaginum at 35 weeks suggests premature rupture of membranes (PROM).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having Temp. - 104F, BP - 140/90 mm Hg, RR - 28/min, Pain scale - 5. Which factor you will primarily manage in this patient:</w:t>
      </w:r>
    </w:p>
    <w:p>
      <w:pPr>
        <w:spacing w:after="0" w:before="0"/>
      </w:pPr>
      <w:r>
        <w:rPr>
          <w:b w:val="0"/>
          <w:sz w:val="22"/>
        </w:rPr>
        <w:t>(a) BP 140/90 mm Hg</w:t>
      </w:r>
    </w:p>
    <w:p>
      <w:pPr>
        <w:spacing w:after="0" w:before="0"/>
      </w:pPr>
      <w:r>
        <w:rPr>
          <w:b w:val="0"/>
          <w:sz w:val="22"/>
        </w:rPr>
        <w:t>(b) Pain scale 5</w:t>
      </w:r>
    </w:p>
    <w:p>
      <w:pPr>
        <w:spacing w:after="0" w:before="0"/>
      </w:pPr>
      <w:r>
        <w:rPr>
          <w:b w:val="0"/>
          <w:sz w:val="22"/>
        </w:rPr>
        <w:t>(c) RR - 30/min</w:t>
      </w:r>
    </w:p>
    <w:p>
      <w:pPr>
        <w:spacing w:after="0" w:before="0"/>
      </w:pPr>
      <w:r>
        <w:rPr>
          <w:b w:val="0"/>
          <w:sz w:val="22"/>
        </w:rPr>
        <w:t>(d) Temp 104F</w:t>
      </w:r>
    </w:p>
    <w:p>
      <w:pPr>
        <w:spacing w:after="0" w:before="40"/>
      </w:pPr>
      <w:r>
        <w:rPr>
          <w:b/>
          <w:sz w:val="22"/>
        </w:rPr>
        <w:t>Answer: d</w:t>
      </w:r>
    </w:p>
    <w:p>
      <w:pPr>
        <w:spacing w:after="0" w:before="0"/>
      </w:pPr>
      <w:r>
        <w:rPr>
          <w:b w:val="0"/>
          <w:sz w:val="21"/>
        </w:rPr>
        <w:t>Solution: A temperature of 104°F is the abnormal (priority) finding; BP 140/90, RR 28 and pain 5 may be within acceptable limits in context.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delirium in older adults?</w:t>
      </w:r>
    </w:p>
    <w:p>
      <w:pPr>
        <w:spacing w:after="0" w:before="0"/>
      </w:pPr>
      <w:r>
        <w:rPr>
          <w:b w:val="0"/>
          <w:sz w:val="22"/>
        </w:rPr>
        <w:t>(a) Dementia</w:t>
      </w:r>
    </w:p>
    <w:p>
      <w:pPr>
        <w:spacing w:after="0" w:before="0"/>
      </w:pPr>
      <w:r>
        <w:rPr>
          <w:b w:val="0"/>
          <w:sz w:val="22"/>
        </w:rPr>
        <w:t>(b) Hypoxia</w:t>
      </w:r>
    </w:p>
    <w:p>
      <w:pPr>
        <w:spacing w:after="0" w:before="0"/>
      </w:pPr>
      <w:r>
        <w:rPr>
          <w:b w:val="0"/>
          <w:sz w:val="22"/>
        </w:rPr>
        <w:t>(c) Long term medicine</w:t>
      </w:r>
    </w:p>
    <w:p>
      <w:pPr>
        <w:spacing w:after="0" w:before="0"/>
      </w:pPr>
      <w:r>
        <w:rPr>
          <w:b w:val="0"/>
          <w:sz w:val="22"/>
        </w:rPr>
        <w:t>(d) Alcohol withdrawal</w:t>
      </w:r>
    </w:p>
    <w:p>
      <w:pPr>
        <w:spacing w:after="0" w:before="40"/>
      </w:pPr>
      <w:r>
        <w:rPr>
          <w:b/>
          <w:sz w:val="22"/>
        </w:rPr>
        <w:t>Answer: a</w:t>
      </w:r>
    </w:p>
    <w:p>
      <w:pPr>
        <w:spacing w:after="0" w:before="0"/>
      </w:pPr>
      <w:r>
        <w:rPr>
          <w:b w:val="0"/>
          <w:sz w:val="21"/>
        </w:rPr>
        <w:t>Solution: Older adults with dementia may be more susceptible to delirium due to the underlying brain changes and increased vulnerability to medical conditions, infections, and other factors that can trigger delirium.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city in India is widely known as the 'Electronic City' or 'Silicon Valley of India'?</w:t>
      </w:r>
    </w:p>
    <w:p>
      <w:pPr>
        <w:spacing w:after="0" w:before="0"/>
      </w:pPr>
      <w:r>
        <w:rPr>
          <w:b w:val="0"/>
          <w:sz w:val="22"/>
        </w:rPr>
        <w:t>(a) Indore</w:t>
      </w:r>
    </w:p>
    <w:p>
      <w:pPr>
        <w:spacing w:after="0" w:before="0"/>
      </w:pPr>
      <w:r>
        <w:rPr>
          <w:b w:val="0"/>
          <w:sz w:val="22"/>
        </w:rPr>
        <w:t>(b) Bengaluru (Bangalore)</w:t>
      </w:r>
    </w:p>
    <w:p>
      <w:pPr>
        <w:spacing w:after="0" w:before="0"/>
      </w:pPr>
      <w:r>
        <w:rPr>
          <w:b w:val="0"/>
          <w:sz w:val="22"/>
        </w:rPr>
        <w:t>(c) Delhi</w:t>
      </w:r>
    </w:p>
    <w:p>
      <w:pPr>
        <w:spacing w:after="0" w:before="0"/>
      </w:pPr>
      <w:r>
        <w:rPr>
          <w:b w:val="0"/>
          <w:sz w:val="22"/>
        </w:rPr>
        <w:t>(d) Chandigarh</w:t>
      </w:r>
    </w:p>
    <w:p>
      <w:pPr>
        <w:spacing w:after="0" w:before="40"/>
      </w:pPr>
      <w:r>
        <w:rPr>
          <w:b/>
          <w:sz w:val="22"/>
        </w:rPr>
        <w:t>Answer: b</w:t>
      </w:r>
    </w:p>
    <w:p>
      <w:pPr>
        <w:spacing w:after="0" w:before="0"/>
      </w:pPr>
      <w:r>
        <w:rPr>
          <w:b w:val="0"/>
          <w:sz w:val="21"/>
        </w:rPr>
        <w:t>Solution: Bengaluru (Bangalore) is known as the Electronic City and Silicon Valley of India due to its status as the nation's leading IT exporter.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Name of the scale for measuring symptoms severity of patients with schizophrenia?</w:t>
      </w:r>
    </w:p>
    <w:p>
      <w:pPr>
        <w:spacing w:after="0" w:before="0"/>
      </w:pPr>
      <w:r>
        <w:rPr>
          <w:b w:val="0"/>
          <w:sz w:val="22"/>
        </w:rPr>
        <w:t>(a) VAS</w:t>
      </w:r>
    </w:p>
    <w:p>
      <w:pPr>
        <w:spacing w:after="0" w:before="0"/>
      </w:pPr>
      <w:r>
        <w:rPr>
          <w:b w:val="0"/>
          <w:sz w:val="22"/>
        </w:rPr>
        <w:t>(b) NRS</w:t>
      </w:r>
    </w:p>
    <w:p>
      <w:pPr>
        <w:spacing w:after="0" w:before="0"/>
      </w:pPr>
      <w:r>
        <w:rPr>
          <w:b w:val="0"/>
          <w:sz w:val="22"/>
        </w:rPr>
        <w:t>(c) PANSS</w:t>
      </w:r>
    </w:p>
    <w:p>
      <w:pPr>
        <w:spacing w:after="0" w:before="0"/>
      </w:pPr>
      <w:r>
        <w:rPr>
          <w:b w:val="0"/>
          <w:sz w:val="22"/>
        </w:rPr>
        <w:t>(d) FLACC</w:t>
      </w:r>
    </w:p>
    <w:p>
      <w:pPr>
        <w:spacing w:after="0" w:before="40"/>
      </w:pPr>
      <w:r>
        <w:rPr>
          <w:b/>
          <w:sz w:val="22"/>
        </w:rPr>
        <w:t>Answer: c</w:t>
      </w:r>
    </w:p>
    <w:p>
      <w:pPr>
        <w:spacing w:after="0" w:before="0"/>
      </w:pPr>
      <w:r>
        <w:rPr>
          <w:b w:val="0"/>
          <w:sz w:val="21"/>
        </w:rPr>
        <w:t>Solution: The Positive and Negative Syndrome Scale (PANSS) is used to measure symptom severity in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Entry into and blocking of respiratory tract</w:t>
      </w:r>
    </w:p>
    <w:p>
      <w:pPr>
        <w:spacing w:after="0" w:before="0"/>
      </w:pPr>
      <w:r>
        <w:rPr>
          <w:b w:val="0"/>
          <w:sz w:val="22"/>
        </w:rPr>
        <w:t>(b) Prevention of spiracle to come in contact with air</w:t>
      </w:r>
    </w:p>
    <w:p>
      <w:pPr>
        <w:spacing w:after="0" w:before="0"/>
      </w:pPr>
      <w:r>
        <w:rPr>
          <w:b w:val="0"/>
          <w:sz w:val="22"/>
        </w:rPr>
        <w:t>(c) Diffusion into body</w:t>
      </w:r>
    </w:p>
    <w:p>
      <w:pPr>
        <w:spacing w:after="0" w:before="0"/>
      </w:pPr>
      <w:r>
        <w:rPr>
          <w:b w:val="0"/>
          <w:sz w:val="22"/>
        </w:rPr>
        <w:t>(d) Burning of body wall</w:t>
      </w:r>
    </w:p>
    <w:p>
      <w:pPr>
        <w:spacing w:after="0" w:before="40"/>
      </w:pPr>
      <w:r>
        <w:rPr>
          <w:b/>
          <w:sz w:val="22"/>
        </w:rPr>
        <w:t>Answer: a</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Disinfection</w:t>
      </w:r>
    </w:p>
    <w:p>
      <w:pPr>
        <w:spacing w:after="0" w:before="0"/>
      </w:pPr>
      <w:r>
        <w:rPr>
          <w:b w:val="0"/>
          <w:sz w:val="22"/>
        </w:rPr>
        <w:t>(d) Scrubbing</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provides protection up to how long?</w:t>
      </w:r>
    </w:p>
    <w:p>
      <w:pPr>
        <w:spacing w:after="0" w:before="0"/>
      </w:pPr>
      <w:r>
        <w:rPr>
          <w:b w:val="0"/>
          <w:sz w:val="22"/>
        </w:rPr>
        <w:t>(a) 2 months</w:t>
      </w:r>
    </w:p>
    <w:p>
      <w:pPr>
        <w:spacing w:after="0" w:before="0"/>
      </w:pPr>
      <w:r>
        <w:rPr>
          <w:b w:val="0"/>
          <w:sz w:val="22"/>
        </w:rPr>
        <w:t>(b) 6 months</w:t>
      </w:r>
    </w:p>
    <w:p>
      <w:pPr>
        <w:spacing w:after="0" w:before="0"/>
      </w:pPr>
      <w:r>
        <w:rPr>
          <w:b w:val="0"/>
          <w:sz w:val="22"/>
        </w:rPr>
        <w:t>(c) 3 months</w:t>
      </w:r>
    </w:p>
    <w:p>
      <w:pPr>
        <w:spacing w:after="0" w:before="0"/>
      </w:pPr>
      <w:r>
        <w:rPr>
          <w:b w:val="0"/>
          <w:sz w:val="22"/>
        </w:rPr>
        <w:t>(d) 1 month</w:t>
      </w:r>
    </w:p>
    <w:p>
      <w:pPr>
        <w:spacing w:after="0" w:before="40"/>
      </w:pPr>
      <w:r>
        <w:rPr>
          <w:b/>
          <w:sz w:val="22"/>
        </w:rPr>
        <w:t>Answer: c</w:t>
      </w:r>
    </w:p>
    <w:p>
      <w:pPr>
        <w:spacing w:after="0" w:before="0"/>
      </w:pPr>
      <w:r>
        <w:rPr>
          <w:b w:val="0"/>
          <w:sz w:val="21"/>
        </w:rPr>
        <w:t>Solution: Depot medroxyprogesterone acetate is injectable progestin that provides highly effective, private, three-month-long, reversible contraception, administered intramuscularly within 5 days of cycle in a dose of 150 mg every 3 months (WHO 4 months) or 300 mg every 6 months, which suppresses ovulation and thickens cervical mucus that also helps keep sperm from ovum. DC Dutta's textbook of Obstetrics. P. 628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age can semi-solid foods be introduced to babies?</w:t>
      </w:r>
    </w:p>
    <w:p>
      <w:pPr>
        <w:spacing w:after="0" w:before="0"/>
      </w:pPr>
      <w:r>
        <w:rPr>
          <w:b w:val="0"/>
          <w:sz w:val="22"/>
        </w:rPr>
        <w:t>(a) 6 months</w:t>
      </w:r>
    </w:p>
    <w:p>
      <w:pPr>
        <w:spacing w:after="0" w:before="0"/>
      </w:pPr>
      <w:r>
        <w:rPr>
          <w:b w:val="0"/>
          <w:sz w:val="22"/>
        </w:rPr>
        <w:t>(b) 9 months</w:t>
      </w:r>
    </w:p>
    <w:p>
      <w:pPr>
        <w:spacing w:after="0" w:before="0"/>
      </w:pPr>
      <w:r>
        <w:rPr>
          <w:b w:val="0"/>
          <w:sz w:val="22"/>
        </w:rPr>
        <w:t>(c) 12 months</w:t>
      </w:r>
    </w:p>
    <w:p>
      <w:pPr>
        <w:spacing w:after="0" w:before="0"/>
      </w:pPr>
      <w:r>
        <w:rPr>
          <w:b w:val="0"/>
          <w:sz w:val="22"/>
        </w:rPr>
        <w:t>(d) 24 months</w:t>
      </w:r>
    </w:p>
    <w:p>
      <w:pPr>
        <w:spacing w:after="0" w:before="40"/>
      </w:pPr>
      <w:r>
        <w:rPr>
          <w:b/>
          <w:sz w:val="22"/>
        </w:rPr>
        <w:t>Answer: a</w:t>
      </w:r>
    </w:p>
    <w:p>
      <w:pPr>
        <w:spacing w:after="0" w:before="0"/>
      </w:pPr>
      <w:r>
        <w:rPr>
          <w:b w:val="0"/>
          <w:sz w:val="21"/>
        </w:rPr>
        <w:t>Solution: Semi-solid (complementary) foods are introduced at 6 months of age along with continued breastfeeding.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Give 20-22 breaths then assess for 2 minutes</w:t>
      </w:r>
    </w:p>
    <w:p>
      <w:pPr>
        <w:spacing w:after="0" w:before="0"/>
      </w:pPr>
      <w:r>
        <w:rPr>
          <w:b w:val="0"/>
          <w:sz w:val="22"/>
        </w:rPr>
        <w:t>(c) Give 10-12 breaths then reassess</w:t>
      </w:r>
    </w:p>
    <w:p>
      <w:pPr>
        <w:spacing w:after="0" w:before="0"/>
      </w:pPr>
      <w:r>
        <w:rPr>
          <w:b w:val="0"/>
          <w:sz w:val="22"/>
        </w:rPr>
        <w:t>(d) Inform Physician</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vesicant chemotherapeutic drug extravasates during IV infusion. What is the nurse's priority action?</w:t>
      </w:r>
    </w:p>
    <w:p>
      <w:pPr>
        <w:spacing w:after="0" w:before="0"/>
      </w:pPr>
      <w:r>
        <w:rPr>
          <w:b w:val="0"/>
          <w:sz w:val="22"/>
        </w:rPr>
        <w:t>(a) Apply a warm compress to the site</w:t>
      </w:r>
    </w:p>
    <w:p>
      <w:pPr>
        <w:spacing w:after="0" w:before="0"/>
      </w:pPr>
      <w:r>
        <w:rPr>
          <w:b w:val="0"/>
          <w:sz w:val="22"/>
        </w:rPr>
        <w:t>(b) Notify the oncologist after completing the infusion</w:t>
      </w:r>
    </w:p>
    <w:p>
      <w:pPr>
        <w:spacing w:after="0" w:before="0"/>
      </w:pPr>
      <w:r>
        <w:rPr>
          <w:b w:val="0"/>
          <w:sz w:val="22"/>
        </w:rPr>
        <w:t>(c) Elevate the extremity</w:t>
      </w:r>
    </w:p>
    <w:p>
      <w:pPr>
        <w:spacing w:after="0" w:before="0"/>
      </w:pPr>
      <w:r>
        <w:rPr>
          <w:b w:val="0"/>
          <w:sz w:val="22"/>
        </w:rPr>
        <w:t>(d) Stop the infusion immediately</w:t>
      </w:r>
    </w:p>
    <w:p>
      <w:pPr>
        <w:spacing w:after="0" w:before="40"/>
      </w:pPr>
      <w:r>
        <w:rPr>
          <w:b/>
          <w:sz w:val="22"/>
        </w:rPr>
        <w:t>Answer: d</w:t>
      </w:r>
    </w:p>
    <w:p>
      <w:pPr>
        <w:spacing w:after="0" w:before="0"/>
      </w:pPr>
      <w:r>
        <w:rPr>
          <w:b w:val="0"/>
          <w:sz w:val="21"/>
        </w:rPr>
        <w:t>Solution: For a vesicant extravasation the infusion is stopped immediately, the drug aspirated from the tubing, and the provider notified; the antidote/compress then depends on the drug.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BMI (Body Mass Index) range for underweight?</w:t>
      </w:r>
    </w:p>
    <w:p>
      <w:pPr>
        <w:spacing w:after="0" w:before="0"/>
      </w:pPr>
      <w:r>
        <w:rPr>
          <w:b w:val="0"/>
          <w:sz w:val="22"/>
        </w:rPr>
        <w:t>(a) &lt;18.5</w:t>
      </w:r>
    </w:p>
    <w:p>
      <w:pPr>
        <w:spacing w:after="0" w:before="0"/>
      </w:pPr>
      <w:r>
        <w:rPr>
          <w:b w:val="0"/>
          <w:sz w:val="22"/>
        </w:rPr>
        <w:t>(b) 25 to 29.9</w:t>
      </w:r>
    </w:p>
    <w:p>
      <w:pPr>
        <w:spacing w:after="0" w:before="0"/>
      </w:pPr>
      <w:r>
        <w:rPr>
          <w:b w:val="0"/>
          <w:sz w:val="22"/>
        </w:rPr>
        <w:t>(c) &gt;30</w:t>
      </w:r>
    </w:p>
    <w:p>
      <w:pPr>
        <w:spacing w:after="0" w:before="0"/>
      </w:pPr>
      <w:r>
        <w:rPr>
          <w:b w:val="0"/>
          <w:sz w:val="22"/>
        </w:rPr>
        <w:t>(d) 18.5 to 24.9</w:t>
      </w:r>
    </w:p>
    <w:p>
      <w:pPr>
        <w:spacing w:after="0" w:before="40"/>
      </w:pPr>
      <w:r>
        <w:rPr>
          <w:b/>
          <w:sz w:val="22"/>
        </w:rPr>
        <w:t>Answer: a</w:t>
      </w:r>
    </w:p>
    <w:p>
      <w:pPr>
        <w:spacing w:after="0" w:before="0"/>
      </w:pPr>
      <w:r>
        <w:rPr>
          <w:b w:val="0"/>
          <w:sz w:val="21"/>
        </w:rPr>
        <w:t>Solution: The Body Mass Index (BMI) range for underweight is less than 18.5 (option A). BMI is a commonly used measurement to assess body weight and PEM 2 Nutrition) BM I classify individuals into different weight categories. It is calculated by dividing a person's weight in kilograms by the square of their height in meters. Underweight is defined as having a BMI below 18.5. This category indicates insufficient body weight relative to height and may be indicative of malnutrition or other underlying health issues. Monitoring BMI helps healthcare professionals assess nutritional status, plan interventions, and monitor changes in weight over time.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Place the client in the supine position</w:t>
      </w:r>
    </w:p>
    <w:p>
      <w:pPr>
        <w:spacing w:after="0" w:before="0"/>
      </w:pPr>
      <w:r>
        <w:rPr>
          <w:b w:val="0"/>
          <w:sz w:val="22"/>
        </w:rPr>
        <w:t>(b) Increase dietary sodium intake</w:t>
      </w:r>
    </w:p>
    <w:p>
      <w:pPr>
        <w:spacing w:after="0" w:before="0"/>
      </w:pPr>
      <w:r>
        <w:rPr>
          <w:b w:val="0"/>
          <w:sz w:val="22"/>
        </w:rPr>
        <w:t>(c) Prepare to administer lactulose as ordered</w:t>
      </w:r>
    </w:p>
    <w:p>
      <w:pPr>
        <w:spacing w:after="0" w:before="0"/>
      </w:pPr>
      <w:r>
        <w:rPr>
          <w:b w:val="0"/>
          <w:sz w:val="22"/>
        </w:rPr>
        <w:t>(d) Restrict dietary protein immediately</w:t>
      </w:r>
    </w:p>
    <w:p>
      <w:pPr>
        <w:spacing w:after="0" w:before="40"/>
      </w:pPr>
      <w:r>
        <w:rPr>
          <w:b/>
          <w:sz w:val="22"/>
        </w:rPr>
        <w:t>Answer: c</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patient with dyspnoea?</w:t>
      </w:r>
    </w:p>
    <w:p>
      <w:pPr>
        <w:spacing w:after="0" w:before="0"/>
      </w:pPr>
      <w:r>
        <w:rPr>
          <w:b w:val="0"/>
          <w:sz w:val="22"/>
        </w:rPr>
        <w:t>(a) Fowler's</w:t>
      </w:r>
    </w:p>
    <w:p>
      <w:pPr>
        <w:spacing w:after="0" w:before="0"/>
      </w:pPr>
      <w:r>
        <w:rPr>
          <w:b w:val="0"/>
          <w:sz w:val="22"/>
        </w:rPr>
        <w:t>(b) Prone</w:t>
      </w:r>
    </w:p>
    <w:p>
      <w:pPr>
        <w:spacing w:after="0" w:before="0"/>
      </w:pPr>
      <w:r>
        <w:rPr>
          <w:b w:val="0"/>
          <w:sz w:val="22"/>
        </w:rPr>
        <w:t>(c) Lithotomy</w:t>
      </w:r>
    </w:p>
    <w:p>
      <w:pPr>
        <w:spacing w:after="0" w:before="0"/>
      </w:pPr>
      <w:r>
        <w:rPr>
          <w:b w:val="0"/>
          <w:sz w:val="22"/>
        </w:rPr>
        <w:t>(d) Supine</w:t>
      </w:r>
    </w:p>
    <w:p>
      <w:pPr>
        <w:spacing w:after="0" w:before="40"/>
      </w:pPr>
      <w:r>
        <w:rPr>
          <w:b/>
          <w:sz w:val="22"/>
        </w:rPr>
        <w:t>Answer: a</w:t>
      </w:r>
    </w:p>
    <w:p>
      <w:pPr>
        <w:spacing w:after="0" w:before="0"/>
      </w:pPr>
      <w:r>
        <w:rPr>
          <w:b w:val="0"/>
          <w:sz w:val="21"/>
        </w:rPr>
        <w:t>Solution: Fowler's (semi-Fowler's) position eases breathing by allowing maximum lung expansion.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an example of a tocolytic agent?</w:t>
      </w:r>
    </w:p>
    <w:p>
      <w:pPr>
        <w:spacing w:after="0" w:before="0"/>
      </w:pPr>
      <w:r>
        <w:rPr>
          <w:b w:val="0"/>
          <w:sz w:val="22"/>
        </w:rPr>
        <w:t>(a) MgSO4</w:t>
      </w:r>
    </w:p>
    <w:p>
      <w:pPr>
        <w:spacing w:after="0" w:before="0"/>
      </w:pPr>
      <w:r>
        <w:rPr>
          <w:b w:val="0"/>
          <w:sz w:val="22"/>
        </w:rPr>
        <w:t>(b) Oxytocin</w:t>
      </w:r>
    </w:p>
    <w:p>
      <w:pPr>
        <w:spacing w:after="0" w:before="0"/>
      </w:pPr>
      <w:r>
        <w:rPr>
          <w:b w:val="0"/>
          <w:sz w:val="22"/>
        </w:rPr>
        <w:t>(c) Ergot`s derivatives</w:t>
      </w:r>
    </w:p>
    <w:p>
      <w:pPr>
        <w:spacing w:after="0" w:before="0"/>
      </w:pPr>
      <w:r>
        <w:rPr>
          <w:b w:val="0"/>
          <w:sz w:val="22"/>
        </w:rPr>
        <w:t>(d) Phenergan</w:t>
      </w:r>
    </w:p>
    <w:p>
      <w:pPr>
        <w:spacing w:after="0" w:before="40"/>
      </w:pPr>
      <w:r>
        <w:rPr>
          <w:b/>
          <w:sz w:val="22"/>
        </w:rPr>
        <w:t>Answer: b</w:t>
      </w:r>
    </w:p>
    <w:p>
      <w:pPr>
        <w:spacing w:after="0" w:before="0"/>
      </w:pPr>
      <w:r>
        <w:rPr>
          <w:b w:val="0"/>
          <w:sz w:val="21"/>
        </w:rPr>
        <w:t>Solution: Tocolytics are medications used to delay or stop premature labor (labor that starts before 37 weeks of pregnancy). They work by reducing contractions of the uterus and helping to prevent the cervix from dilation soon. Magnesium sulfate is often used to treat preeclampsia, a serious complication of pregnancy that can lead to premature labor, it can also be used as a tocolytic to delay labor. It acts by competitive inhibition to calcium ion either at the motor end plate at the cell membrane reducing calcium influx Decreases acetylcholine release and its sensitivity at the motor end plate. Direct depressant action on the uterine muscle. Other tocolytic agents are: Calcium channel blockers (nifedipine, verapamil), Betamimetics (Terbutaline), Oxytocin antagonists (Atosiban). DC Dutta's textbook of Obstetrics. P. 367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observes clear, watery fluid draining from the nose of a client with a head injury. Which action is appropriate?</w:t>
      </w:r>
    </w:p>
    <w:p>
      <w:pPr>
        <w:spacing w:after="0" w:before="0"/>
      </w:pPr>
      <w:r>
        <w:rPr>
          <w:b w:val="0"/>
          <w:sz w:val="22"/>
        </w:rPr>
        <w:t>(a) Suction the nares to keep the airway clear</w:t>
      </w:r>
    </w:p>
    <w:p>
      <w:pPr>
        <w:spacing w:after="0" w:before="0"/>
      </w:pPr>
      <w:r>
        <w:rPr>
          <w:b w:val="0"/>
          <w:sz w:val="22"/>
        </w:rPr>
        <w:t>(b) Test the drainage for glucose to confirm cerebrospinal fluid</w:t>
      </w:r>
    </w:p>
    <w:p>
      <w:pPr>
        <w:spacing w:after="0" w:before="0"/>
      </w:pPr>
      <w:r>
        <w:rPr>
          <w:b w:val="0"/>
          <w:sz w:val="22"/>
        </w:rPr>
        <w:t>(c) Place the client in the Trendelenburg position</w:t>
      </w:r>
    </w:p>
    <w:p>
      <w:pPr>
        <w:spacing w:after="0" w:before="0"/>
      </w:pPr>
      <w:r>
        <w:rPr>
          <w:b w:val="0"/>
          <w:sz w:val="22"/>
        </w:rPr>
        <w:t>(d) Pack the nose with sterile gauze</w:t>
      </w:r>
    </w:p>
    <w:p>
      <w:pPr>
        <w:spacing w:after="0" w:before="40"/>
      </w:pPr>
      <w:r>
        <w:rPr>
          <w:b/>
          <w:sz w:val="22"/>
        </w:rPr>
        <w:t>Answer: b</w:t>
      </w:r>
    </w:p>
    <w:p>
      <w:pPr>
        <w:spacing w:after="0" w:before="0"/>
      </w:pPr>
      <w:r>
        <w:rPr>
          <w:b w:val="0"/>
          <w:sz w:val="21"/>
        </w:rPr>
        <w:t>Solution: Clear nasal drainage after head injury is likely CSF (rhinorrhea); it is tested for glucose, and suctioning or packing is avoided because it can introduce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client with severe dyspnea?</w:t>
      </w:r>
    </w:p>
    <w:p>
      <w:pPr>
        <w:spacing w:after="0" w:before="0"/>
      </w:pPr>
      <w:r>
        <w:rPr>
          <w:b w:val="0"/>
          <w:sz w:val="22"/>
        </w:rPr>
        <w:t>(a) High Fowler's position</w:t>
      </w:r>
    </w:p>
    <w:p>
      <w:pPr>
        <w:spacing w:after="0" w:before="0"/>
      </w:pPr>
      <w:r>
        <w:rPr>
          <w:b w:val="0"/>
          <w:sz w:val="22"/>
        </w:rPr>
        <w:t>(b) Prone position</w:t>
      </w:r>
    </w:p>
    <w:p>
      <w:pPr>
        <w:spacing w:after="0" w:before="0"/>
      </w:pPr>
      <w:r>
        <w:rPr>
          <w:b w:val="0"/>
          <w:sz w:val="22"/>
        </w:rPr>
        <w:t>(c) Trendelenburg position</w:t>
      </w:r>
    </w:p>
    <w:p>
      <w:pPr>
        <w:spacing w:after="0" w:before="0"/>
      </w:pPr>
      <w:r>
        <w:rPr>
          <w:b w:val="0"/>
          <w:sz w:val="22"/>
        </w:rPr>
        <w:t>(d) Supine position</w:t>
      </w:r>
    </w:p>
    <w:p>
      <w:pPr>
        <w:spacing w:after="0" w:before="40"/>
      </w:pPr>
      <w:r>
        <w:rPr>
          <w:b/>
          <w:sz w:val="22"/>
        </w:rPr>
        <w:t>Answer: a</w:t>
      </w:r>
    </w:p>
    <w:p>
      <w:pPr>
        <w:spacing w:after="0" w:before="0"/>
      </w:pPr>
      <w:r>
        <w:rPr>
          <w:b w:val="0"/>
          <w:sz w:val="21"/>
        </w:rPr>
        <w:t>Solution: High Fowler's (sitting at 80-90°) maximizes chest expansion by allowing gravity to lower abdominal contents and is the position of choice for dyspnea.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average pulse rate in a healthy adult person?</w:t>
      </w:r>
    </w:p>
    <w:p>
      <w:pPr>
        <w:spacing w:after="0" w:before="0"/>
      </w:pPr>
      <w:r>
        <w:rPr>
          <w:b w:val="0"/>
          <w:sz w:val="22"/>
        </w:rPr>
        <w:t>(a) 50-80 beats/minutes</w:t>
      </w:r>
    </w:p>
    <w:p>
      <w:pPr>
        <w:spacing w:after="0" w:before="0"/>
      </w:pPr>
      <w:r>
        <w:rPr>
          <w:b w:val="0"/>
          <w:sz w:val="22"/>
        </w:rPr>
        <w:t>(b) 60-100 beats/minutes</w:t>
      </w:r>
    </w:p>
    <w:p>
      <w:pPr>
        <w:spacing w:after="0" w:before="0"/>
      </w:pPr>
      <w:r>
        <w:rPr>
          <w:b w:val="0"/>
          <w:sz w:val="22"/>
        </w:rPr>
        <w:t>(c) 40-90 beats/minutes</w:t>
      </w:r>
    </w:p>
    <w:p>
      <w:pPr>
        <w:spacing w:after="0" w:before="0"/>
      </w:pPr>
      <w:r>
        <w:rPr>
          <w:b w:val="0"/>
          <w:sz w:val="22"/>
        </w:rPr>
        <w:t>(d) 70-110 beats/minutes</w:t>
      </w:r>
    </w:p>
    <w:p>
      <w:pPr>
        <w:spacing w:after="0" w:before="40"/>
      </w:pPr>
      <w:r>
        <w:rPr>
          <w:b/>
          <w:sz w:val="22"/>
        </w:rPr>
        <w:t>Answer: b</w:t>
      </w:r>
    </w:p>
    <w:p>
      <w:pPr>
        <w:spacing w:after="0" w:before="0"/>
      </w:pPr>
      <w:r>
        <w:rPr>
          <w:b w:val="0"/>
          <w:sz w:val="21"/>
        </w:rPr>
        <w:t>Solution: The average pulse rate in a healthy adult person is 60-100 beats per minute (bpm). The pulse rate is a measure of the heart's rhythm and reflects the number of times the heart beats per minute. Various factors, including age, fitness level, medications, and underlying medical conditions, can influence the pulse rate. A resting heart rate below 60 bpm is considered bradycardia, while a resting heart rate above 100 bpm is considered tachycardia. Regular monitoring of the pulse rate is essential in assessing cardiovascular health and identifying any abnormal rhythms.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