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woman delivers a baby vaginally in the labor room. After 7 days post-delivery, which type of lochia is expected to come from the vagina?</w:t>
      </w:r>
    </w:p>
    <w:p>
      <w:pPr>
        <w:spacing w:after="0" w:before="0"/>
      </w:pPr>
      <w:r>
        <w:rPr>
          <w:b w:val="0"/>
          <w:sz w:val="22"/>
        </w:rPr>
        <w:t>(a) Alha</w:t>
      </w:r>
    </w:p>
    <w:p>
      <w:pPr>
        <w:spacing w:after="0" w:before="0"/>
      </w:pPr>
      <w:r>
        <w:rPr>
          <w:b w:val="0"/>
          <w:sz w:val="22"/>
        </w:rPr>
        <w:t>(b) None</w:t>
      </w:r>
    </w:p>
    <w:p>
      <w:pPr>
        <w:spacing w:after="0" w:before="0"/>
      </w:pPr>
      <w:r>
        <w:rPr>
          <w:b w:val="0"/>
          <w:sz w:val="22"/>
        </w:rPr>
        <w:t>(c) Serosa</w:t>
      </w:r>
    </w:p>
    <w:p>
      <w:pPr>
        <w:spacing w:after="0" w:before="0"/>
      </w:pPr>
      <w:r>
        <w:rPr>
          <w:b w:val="0"/>
          <w:sz w:val="22"/>
        </w:rPr>
        <w:t>(d) Rubra</w:t>
      </w:r>
    </w:p>
    <w:p>
      <w:pPr>
        <w:spacing w:after="0" w:before="40"/>
      </w:pPr>
      <w:r>
        <w:rPr>
          <w:b/>
          <w:sz w:val="22"/>
        </w:rPr>
        <w:t>Answer: c</w:t>
      </w:r>
    </w:p>
    <w:p>
      <w:pPr>
        <w:spacing w:after="0" w:before="0"/>
      </w:pPr>
      <w:r>
        <w:rPr>
          <w:b w:val="0"/>
          <w:sz w:val="21"/>
        </w:rPr>
        <w:t>Solution: After 7 days post-delivery, the type of lochia expected to come from the vagina is serosa (option b). Lochia is the vaginal discharge that occurs after childbirth and consists of blood, mucus, and uterine tissue. Initially, the lochia is bright red and called lochia rubra. Over time, it transitions to a pinkish-brown color known as lochia serosa. By the seventh day, the lochia should have further changed to a yellowish-white discharge called lochia alba. Lochia serosa refers to a thicker, more viscous discharge that may contain remnants of old blood and mucus. It is a normal part of the postpartum healing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Painful Bleeding at 34 week of gastation</w:t>
      </w:r>
    </w:p>
    <w:p>
      <w:pPr>
        <w:spacing w:after="0" w:before="0"/>
      </w:pPr>
      <w:r>
        <w:rPr>
          <w:b w:val="0"/>
          <w:sz w:val="22"/>
        </w:rPr>
        <w:t>(a) Placenta accreta</w:t>
      </w:r>
    </w:p>
    <w:p>
      <w:pPr>
        <w:spacing w:after="0" w:before="0"/>
      </w:pPr>
      <w:r>
        <w:rPr>
          <w:b w:val="0"/>
          <w:sz w:val="22"/>
        </w:rPr>
        <w:t>(b) Abruptio placentae</w:t>
      </w:r>
    </w:p>
    <w:p>
      <w:pPr>
        <w:spacing w:after="0" w:before="0"/>
      </w:pPr>
      <w:r>
        <w:rPr>
          <w:b w:val="0"/>
          <w:sz w:val="22"/>
        </w:rPr>
        <w:t>(c) Placenta previa</w:t>
      </w:r>
    </w:p>
    <w:p>
      <w:pPr>
        <w:spacing w:after="0" w:before="0"/>
      </w:pPr>
      <w:r>
        <w:rPr>
          <w:b w:val="0"/>
          <w:sz w:val="22"/>
        </w:rPr>
        <w:t>(d) Placenta percreta</w:t>
      </w:r>
    </w:p>
    <w:p>
      <w:pPr>
        <w:spacing w:after="0" w:before="40"/>
      </w:pPr>
      <w:r>
        <w:rPr>
          <w:b/>
          <w:sz w:val="22"/>
        </w:rPr>
        <w:t>Answer: b</w:t>
      </w:r>
    </w:p>
    <w:p>
      <w:pPr>
        <w:spacing w:after="0" w:before="0"/>
      </w:pPr>
      <w:r>
        <w:rPr>
          <w:b w:val="0"/>
          <w:sz w:val="21"/>
        </w:rPr>
        <w:t>Solution: Painful third-trimester vaginal bleeding suggests abruptio placentae; placenta previa typically bleeds painlessly.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reference point for the measurement of JVP is the:</w:t>
      </w:r>
    </w:p>
    <w:p>
      <w:pPr>
        <w:spacing w:after="0" w:before="0"/>
      </w:pPr>
      <w:r>
        <w:rPr>
          <w:b w:val="0"/>
          <w:sz w:val="22"/>
        </w:rPr>
        <w:t>(a) Xiphisternum</w:t>
      </w:r>
    </w:p>
    <w:p>
      <w:pPr>
        <w:spacing w:after="0" w:before="0"/>
      </w:pPr>
      <w:r>
        <w:rPr>
          <w:b w:val="0"/>
          <w:sz w:val="22"/>
        </w:rPr>
        <w:t>(b) Nipple</w:t>
      </w:r>
    </w:p>
    <w:p>
      <w:pPr>
        <w:spacing w:after="0" w:before="0"/>
      </w:pPr>
      <w:r>
        <w:rPr>
          <w:b w:val="0"/>
          <w:sz w:val="22"/>
        </w:rPr>
        <w:t>(c) Suprasternal notch</w:t>
      </w:r>
    </w:p>
    <w:p>
      <w:pPr>
        <w:spacing w:after="0" w:before="0"/>
      </w:pPr>
      <w:r>
        <w:rPr>
          <w:b w:val="0"/>
          <w:sz w:val="22"/>
        </w:rPr>
        <w:t>(d) Sternal angle</w:t>
      </w:r>
    </w:p>
    <w:p>
      <w:pPr>
        <w:spacing w:after="0" w:before="40"/>
      </w:pPr>
      <w:r>
        <w:rPr>
          <w:b/>
          <w:sz w:val="22"/>
        </w:rPr>
        <w:t>Answer: d</w:t>
      </w:r>
    </w:p>
    <w:p>
      <w:pPr>
        <w:spacing w:after="0" w:before="0"/>
      </w:pPr>
      <w:r>
        <w:rPr>
          <w:b w:val="0"/>
          <w:sz w:val="21"/>
        </w:rPr>
        <w:t>Solution: The sternal angle (angle of Louis) is the reference point for measuring jugular venous pressure (JVP).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HPV vaccination schedule for adolescent girls?</w:t>
      </w:r>
    </w:p>
    <w:p>
      <w:pPr>
        <w:spacing w:after="0" w:before="0"/>
      </w:pPr>
      <w:r>
        <w:rPr>
          <w:b w:val="0"/>
          <w:sz w:val="22"/>
        </w:rPr>
        <w:t>(a) 3 doses, in 0,6,12 month interval&lt;15 years of age group</w:t>
      </w:r>
    </w:p>
    <w:p>
      <w:pPr>
        <w:spacing w:after="0" w:before="0"/>
      </w:pPr>
      <w:r>
        <w:rPr>
          <w:b w:val="0"/>
          <w:sz w:val="22"/>
        </w:rPr>
        <w:t>(b) 3 doses, in 0, 1, 6 month interval &lt;15 years of age group</w:t>
      </w:r>
    </w:p>
    <w:p>
      <w:pPr>
        <w:spacing w:after="0" w:before="0"/>
      </w:pPr>
      <w:r>
        <w:rPr>
          <w:b w:val="0"/>
          <w:sz w:val="22"/>
        </w:rPr>
        <w:t>(c) 3 doses, in 0,2.6 month interval 15 years of age group</w:t>
      </w:r>
    </w:p>
    <w:p>
      <w:pPr>
        <w:spacing w:after="0" w:before="0"/>
      </w:pPr>
      <w:r>
        <w:rPr>
          <w:b w:val="0"/>
          <w:sz w:val="22"/>
        </w:rPr>
        <w:t>(d) 2 doses, in 1,6 month interval 15 years of age group</w:t>
      </w:r>
    </w:p>
    <w:p>
      <w:pPr>
        <w:spacing w:after="0" w:before="40"/>
      </w:pPr>
      <w:r>
        <w:rPr>
          <w:b/>
          <w:sz w:val="22"/>
        </w:rPr>
        <w:t>Answer: b</w:t>
      </w:r>
    </w:p>
    <w:p>
      <w:pPr>
        <w:spacing w:after="0" w:before="0"/>
      </w:pPr>
      <w:r>
        <w:rPr>
          <w:b w:val="0"/>
          <w:sz w:val="21"/>
        </w:rPr>
        <w:t>Solution: The recommended HPV vaccination schedule for adolescent girls is three doses given in a 0, 1, 6-month interval for those under 15 years of age (option B). The HPV vaccine protects against several strains of the human papillomavirus, which is a common sexually transmitted infection and a leading cause of cervical cancer. The three-dose schedule provides optimal protection against HPV and is recommended for girls and boys starting at age 11 or 12. The interval between doses allows for the development of an adequate immune response. It is important to follow the recommended schedule to ensure maximum effectiveness of the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cut-off range of axillary temperature for hypothermia in children?</w:t>
      </w:r>
    </w:p>
    <w:p>
      <w:pPr>
        <w:spacing w:after="0" w:before="0"/>
      </w:pPr>
      <w:r>
        <w:rPr>
          <w:b w:val="0"/>
          <w:sz w:val="22"/>
        </w:rPr>
        <w:t>(a) 36.0°C</w:t>
      </w:r>
    </w:p>
    <w:p>
      <w:pPr>
        <w:spacing w:after="0" w:before="0"/>
      </w:pPr>
      <w:r>
        <w:rPr>
          <w:b w:val="0"/>
          <w:sz w:val="22"/>
        </w:rPr>
        <w:t>(b) 36.5°C</w:t>
      </w:r>
    </w:p>
    <w:p>
      <w:pPr>
        <w:spacing w:after="0" w:before="0"/>
      </w:pPr>
      <w:r>
        <w:rPr>
          <w:b w:val="0"/>
          <w:sz w:val="22"/>
        </w:rPr>
        <w:t>(c) 37.0°C</w:t>
      </w:r>
    </w:p>
    <w:p>
      <w:pPr>
        <w:spacing w:after="0" w:before="0"/>
      </w:pPr>
      <w:r>
        <w:rPr>
          <w:b w:val="0"/>
          <w:sz w:val="22"/>
        </w:rPr>
        <w:t>(d) 35.0°C</w:t>
      </w:r>
    </w:p>
    <w:p>
      <w:pPr>
        <w:spacing w:after="0" w:before="40"/>
      </w:pPr>
      <w:r>
        <w:rPr>
          <w:b/>
          <w:sz w:val="22"/>
        </w:rPr>
        <w:t>Answer: b</w:t>
      </w:r>
    </w:p>
    <w:p>
      <w:pPr>
        <w:spacing w:after="0" w:before="0"/>
      </w:pPr>
      <w:r>
        <w:rPr>
          <w:b w:val="0"/>
          <w:sz w:val="21"/>
        </w:rPr>
        <w:t>Solution: Hypothermia in children is defined as an axillary temperature below 36.5°C; a temperature below 35°C indicates severe hypothermia.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first line drug used to managepost-resuscitation hypotension?</w:t>
      </w:r>
    </w:p>
    <w:p>
      <w:pPr>
        <w:spacing w:after="0" w:before="0"/>
      </w:pPr>
      <w:r>
        <w:rPr>
          <w:b w:val="0"/>
          <w:sz w:val="22"/>
        </w:rPr>
        <w:t>(a) ADR</w:t>
      </w:r>
    </w:p>
    <w:p>
      <w:pPr>
        <w:spacing w:after="0" w:before="0"/>
      </w:pPr>
      <w:r>
        <w:rPr>
          <w:b w:val="0"/>
          <w:sz w:val="22"/>
        </w:rPr>
        <w:t>(b) NORAD</w:t>
      </w:r>
    </w:p>
    <w:p>
      <w:pPr>
        <w:spacing w:after="0" w:before="0"/>
      </w:pPr>
      <w:r>
        <w:rPr>
          <w:b w:val="0"/>
          <w:sz w:val="22"/>
        </w:rPr>
        <w:t>(c) IV Fluid</w:t>
      </w:r>
    </w:p>
    <w:p>
      <w:pPr>
        <w:spacing w:after="0" w:before="0"/>
      </w:pPr>
      <w:r>
        <w:rPr>
          <w:b w:val="0"/>
          <w:sz w:val="22"/>
        </w:rPr>
        <w:t>(d) Dopamine</w:t>
      </w:r>
    </w:p>
    <w:p>
      <w:pPr>
        <w:spacing w:after="0" w:before="40"/>
      </w:pPr>
      <w:r>
        <w:rPr>
          <w:b/>
          <w:sz w:val="22"/>
        </w:rPr>
        <w:t>Answer: c</w:t>
      </w:r>
    </w:p>
    <w:p>
      <w:pPr>
        <w:spacing w:after="0" w:before="0"/>
      </w:pPr>
      <w:r>
        <w:rPr>
          <w:b w:val="0"/>
          <w:sz w:val="21"/>
        </w:rPr>
        <w:t>Solution: The first-line drug used to manage post-resuscitation hypotension is IV fluid (option D). Post-resuscitation hypotension refers to low blood pressure that can occur following successful resuscitation efforts after cardiac arrest or other life-threatening events. The immediate goal in managing post-resuscitation hypotension is to restore and maintain adequate blood pressure to ensure sufficient perfusion to vital organs. IV fluid administration is typically the first intervention, as it helps to increase intravascular volume and improve cardiac output. This initial fluid resuscitation aims to optimize organ perfusion and restore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Pentavalent</w:t>
      </w:r>
    </w:p>
    <w:p>
      <w:pPr>
        <w:spacing w:after="0" w:before="0"/>
      </w:pPr>
      <w:r>
        <w:rPr>
          <w:b w:val="0"/>
          <w:sz w:val="22"/>
        </w:rPr>
        <w:t>(b) DPT</w:t>
      </w:r>
    </w:p>
    <w:p>
      <w:pPr>
        <w:spacing w:after="0" w:before="0"/>
      </w:pPr>
      <w:r>
        <w:rPr>
          <w:b w:val="0"/>
          <w:sz w:val="22"/>
        </w:rPr>
        <w:t>(c) BCG</w:t>
      </w:r>
    </w:p>
    <w:p>
      <w:pPr>
        <w:spacing w:after="0" w:before="0"/>
      </w:pPr>
      <w:r>
        <w:rPr>
          <w:b w:val="0"/>
          <w:sz w:val="22"/>
        </w:rPr>
        <w:t>(d) Meade.</w:t>
      </w:r>
    </w:p>
    <w:p>
      <w:pPr>
        <w:spacing w:after="0" w:before="40"/>
      </w:pPr>
      <w:r>
        <w:rPr>
          <w:b/>
          <w:sz w:val="22"/>
        </w:rPr>
        <w:t>Answer: c</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related to MMR vaccine?</w:t>
      </w:r>
    </w:p>
    <w:p>
      <w:pPr>
        <w:spacing w:after="0" w:before="0"/>
      </w:pPr>
      <w:r>
        <w:rPr>
          <w:b w:val="0"/>
          <w:sz w:val="22"/>
        </w:rPr>
        <w:t>(a) Rickets</w:t>
      </w:r>
    </w:p>
    <w:p>
      <w:pPr>
        <w:spacing w:after="0" w:before="0"/>
      </w:pPr>
      <w:r>
        <w:rPr>
          <w:b w:val="0"/>
          <w:sz w:val="22"/>
        </w:rPr>
        <w:t>(b) Measles</w:t>
      </w:r>
    </w:p>
    <w:p>
      <w:pPr>
        <w:spacing w:after="0" w:before="0"/>
      </w:pPr>
      <w:r>
        <w:rPr>
          <w:b w:val="0"/>
          <w:sz w:val="22"/>
        </w:rPr>
        <w:t>(c) Rubella</w:t>
      </w:r>
    </w:p>
    <w:p>
      <w:pPr>
        <w:spacing w:after="0" w:before="0"/>
      </w:pPr>
      <w:r>
        <w:rPr>
          <w:b w:val="0"/>
          <w:sz w:val="22"/>
        </w:rPr>
        <w:t>(d) Mumps</w:t>
      </w:r>
    </w:p>
    <w:p>
      <w:pPr>
        <w:spacing w:after="0" w:before="40"/>
      </w:pPr>
      <w:r>
        <w:rPr>
          <w:b/>
          <w:sz w:val="22"/>
        </w:rPr>
        <w:t>Answer: a</w:t>
      </w:r>
    </w:p>
    <w:p>
      <w:pPr>
        <w:spacing w:after="0" w:before="0"/>
      </w:pPr>
      <w:r>
        <w:rPr>
          <w:b w:val="0"/>
          <w:sz w:val="21"/>
        </w:rPr>
        <w:t>Solution: The MMR vaccine protects against measles, mumps and rubella; rickets is a vitamin D deficiency disorder and is not related to MMR.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'Everyone feels sad sometimes.'</w:t>
      </w:r>
    </w:p>
    <w:p>
      <w:pPr>
        <w:spacing w:after="0" w:before="0"/>
      </w:pPr>
      <w:r>
        <w:rPr>
          <w:b w:val="0"/>
          <w:sz w:val="22"/>
        </w:rPr>
        <w:t>(b) 'You should not feel so sad.'</w:t>
      </w:r>
    </w:p>
    <w:p>
      <w:pPr>
        <w:spacing w:after="0" w:before="0"/>
      </w:pPr>
      <w:r>
        <w:rPr>
          <w:b w:val="0"/>
          <w:sz w:val="22"/>
        </w:rPr>
        <w:t>(c) 'Why do you feel this way?'</w:t>
      </w:r>
    </w:p>
    <w:p>
      <w:pPr>
        <w:spacing w:after="0" w:before="0"/>
      </w:pPr>
      <w:r>
        <w:rPr>
          <w:b w:val="0"/>
          <w:sz w:val="22"/>
        </w:rPr>
        <w:t>(d) 'Tell me more about how you are feeling.'</w:t>
      </w:r>
    </w:p>
    <w:p>
      <w:pPr>
        <w:spacing w:after="0" w:before="40"/>
      </w:pPr>
      <w:r>
        <w:rPr>
          <w:b/>
          <w:sz w:val="22"/>
        </w:rPr>
        <w:t>Answer: d</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ORS (Oral Rehydration Solution) should be given in acute diarrhoea:</w:t>
      </w:r>
    </w:p>
    <w:p>
      <w:pPr>
        <w:spacing w:after="0" w:before="0"/>
      </w:pPr>
      <w:r>
        <w:rPr>
          <w:b w:val="0"/>
          <w:sz w:val="22"/>
        </w:rPr>
        <w:t>(a) Only when the child is hospitalised</w:t>
      </w:r>
    </w:p>
    <w:p>
      <w:pPr>
        <w:spacing w:after="0" w:before="0"/>
      </w:pPr>
      <w:r>
        <w:rPr>
          <w:b w:val="0"/>
          <w:sz w:val="22"/>
        </w:rPr>
        <w:t>(b) After every loose stool in small amounts</w:t>
      </w:r>
    </w:p>
    <w:p>
      <w:pPr>
        <w:spacing w:after="0" w:before="0"/>
      </w:pPr>
      <w:r>
        <w:rPr>
          <w:b w:val="0"/>
          <w:sz w:val="22"/>
        </w:rPr>
        <w:t>(c) Only with antibiotics</w:t>
      </w:r>
    </w:p>
    <w:p>
      <w:pPr>
        <w:spacing w:after="0" w:before="0"/>
      </w:pPr>
      <w:r>
        <w:rPr>
          <w:b w:val="0"/>
          <w:sz w:val="22"/>
        </w:rPr>
        <w:t>(d) Only if the child is vomiting</w:t>
      </w:r>
    </w:p>
    <w:p>
      <w:pPr>
        <w:spacing w:after="0" w:before="40"/>
      </w:pPr>
      <w:r>
        <w:rPr>
          <w:b/>
          <w:sz w:val="22"/>
        </w:rPr>
        <w:t>Answer: b</w:t>
      </w:r>
    </w:p>
    <w:p>
      <w:pPr>
        <w:spacing w:after="0" w:before="0"/>
      </w:pPr>
      <w:r>
        <w:rPr>
          <w:b w:val="0"/>
          <w:sz w:val="21"/>
        </w:rPr>
        <w:t>Solution: ORS is given after each loose stool (about 50-100 ml per stool for a young child) to prevent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drug used as an antidote for heparin overdose is:</w:t>
      </w:r>
    </w:p>
    <w:p>
      <w:pPr>
        <w:spacing w:after="0" w:before="0"/>
      </w:pPr>
      <w:r>
        <w:rPr>
          <w:b w:val="0"/>
          <w:sz w:val="22"/>
        </w:rPr>
        <w:t>(a) Protamine sulphate</w:t>
      </w:r>
    </w:p>
    <w:p>
      <w:pPr>
        <w:spacing w:after="0" w:before="0"/>
      </w:pPr>
      <w:r>
        <w:rPr>
          <w:b w:val="0"/>
          <w:sz w:val="22"/>
        </w:rPr>
        <w:t>(b) Naloxone</w:t>
      </w:r>
    </w:p>
    <w:p>
      <w:pPr>
        <w:spacing w:after="0" w:before="0"/>
      </w:pPr>
      <w:r>
        <w:rPr>
          <w:b w:val="0"/>
          <w:sz w:val="22"/>
        </w:rPr>
        <w:t>(c) Flumazenil</w:t>
      </w:r>
    </w:p>
    <w:p>
      <w:pPr>
        <w:spacing w:after="0" w:before="0"/>
      </w:pPr>
      <w:r>
        <w:rPr>
          <w:b w:val="0"/>
          <w:sz w:val="22"/>
        </w:rPr>
        <w:t>(d) Vitamin K</w:t>
      </w:r>
    </w:p>
    <w:p>
      <w:pPr>
        <w:spacing w:after="0" w:before="40"/>
      </w:pPr>
      <w:r>
        <w:rPr>
          <w:b/>
          <w:sz w:val="22"/>
        </w:rPr>
        <w:t>Answer: a</w:t>
      </w:r>
    </w:p>
    <w:p>
      <w:pPr>
        <w:spacing w:after="0" w:before="0"/>
      </w:pPr>
      <w:r>
        <w:rPr>
          <w:b w:val="0"/>
          <w:sz w:val="21"/>
        </w:rPr>
        <w:t>Solution: Protamine sulphate neutralises heparin; vitamin K is the antidote for warfarin.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covid symptoms in the child, except?</w:t>
      </w:r>
    </w:p>
    <w:p>
      <w:pPr>
        <w:spacing w:after="0" w:before="0"/>
      </w:pPr>
      <w:r>
        <w:rPr>
          <w:b w:val="0"/>
          <w:sz w:val="22"/>
        </w:rPr>
        <w:t>(a) Purulent conjunctivitis</w:t>
      </w:r>
    </w:p>
    <w:p>
      <w:pPr>
        <w:spacing w:after="0" w:before="0"/>
      </w:pPr>
      <w:r>
        <w:rPr>
          <w:b w:val="0"/>
          <w:sz w:val="22"/>
        </w:rPr>
        <w:t>(b) Rhinitis</w:t>
      </w:r>
    </w:p>
    <w:p>
      <w:pPr>
        <w:spacing w:after="0" w:before="0"/>
      </w:pPr>
      <w:r>
        <w:rPr>
          <w:b w:val="0"/>
          <w:sz w:val="22"/>
        </w:rPr>
        <w:t>(c) Fever</w:t>
      </w:r>
    </w:p>
    <w:p>
      <w:pPr>
        <w:spacing w:after="0" w:before="0"/>
      </w:pPr>
      <w:r>
        <w:rPr>
          <w:b w:val="0"/>
          <w:sz w:val="22"/>
        </w:rPr>
        <w:t>(d) Shock</w:t>
      </w:r>
    </w:p>
    <w:p>
      <w:pPr>
        <w:spacing w:after="0" w:before="40"/>
      </w:pPr>
      <w:r>
        <w:rPr>
          <w:b/>
          <w:sz w:val="22"/>
        </w:rPr>
        <w:t>Answer: d</w:t>
      </w:r>
    </w:p>
    <w:p>
      <w:pPr>
        <w:spacing w:after="0" w:before="0"/>
      </w:pPr>
      <w:r>
        <w:rPr>
          <w:b w:val="0"/>
          <w:sz w:val="21"/>
        </w:rPr>
        <w:t>Solution: In children, shock is not typically considered a common symptom of COVID-19 (option A). Children infected with COVID-19 may exhibit a range of symptoms, but shock, which refers to a life-threatening condition characterized by inadequate blood flow to vital organs, is not commonly associated with the infection in children. Instead, common symptoms in children with COVID-19 may include fever, cough, sore throat, rhinitis (runny nose), fatigue, headache, gastrointestinal symptoms, such as nausea and diarrhea, and in some cases, skin rashes. It is important to note that the symptoms of COVID-19 can vary among individuals, and medical evaluation should be sought for proper diagnosis and management. covid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Checking the sponge count &amp; instruments counts before suturing.</w:t>
      </w:r>
    </w:p>
    <w:p>
      <w:pPr>
        <w:spacing w:after="0" w:before="0"/>
      </w:pPr>
      <w:r>
        <w:rPr>
          <w:b w:val="0"/>
          <w:sz w:val="22"/>
        </w:rPr>
        <w:t>(c) Clean the instruments</w:t>
      </w:r>
    </w:p>
    <w:p>
      <w:pPr>
        <w:spacing w:after="0" w:before="0"/>
      </w:pPr>
      <w:r>
        <w:rPr>
          <w:b w:val="0"/>
          <w:sz w:val="22"/>
        </w:rPr>
        <w:t>(d) Disinfection of OT</w:t>
      </w:r>
    </w:p>
    <w:p>
      <w:pPr>
        <w:spacing w:after="0" w:before="40"/>
      </w:pPr>
      <w:r>
        <w:rPr>
          <w:b/>
          <w:sz w:val="22"/>
        </w:rPr>
        <w:t>Answer: b</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RTA patient came to the emergency room. By which method should the oxygen be administered in this patient?</w:t>
      </w:r>
    </w:p>
    <w:p>
      <w:pPr>
        <w:spacing w:after="0" w:before="0"/>
      </w:pPr>
      <w:r>
        <w:rPr>
          <w:b w:val="0"/>
          <w:sz w:val="22"/>
        </w:rPr>
        <w:t>(a) Rebreather mask</w:t>
      </w:r>
    </w:p>
    <w:p>
      <w:pPr>
        <w:spacing w:after="0" w:before="0"/>
      </w:pPr>
      <w:r>
        <w:rPr>
          <w:b w:val="0"/>
          <w:sz w:val="22"/>
        </w:rPr>
        <w:t>(b) Nasal cannula</w:t>
      </w:r>
    </w:p>
    <w:p>
      <w:pPr>
        <w:spacing w:after="0" w:before="0"/>
      </w:pPr>
      <w:r>
        <w:rPr>
          <w:b w:val="0"/>
          <w:sz w:val="22"/>
        </w:rPr>
        <w:t>(c) Non - rebreather mask</w:t>
      </w:r>
    </w:p>
    <w:p>
      <w:pPr>
        <w:spacing w:after="0" w:before="0"/>
      </w:pPr>
      <w:r>
        <w:rPr>
          <w:b w:val="0"/>
          <w:sz w:val="22"/>
        </w:rPr>
        <w:t>(d) Simple mask</w:t>
      </w:r>
    </w:p>
    <w:p>
      <w:pPr>
        <w:spacing w:after="0" w:before="40"/>
      </w:pPr>
      <w:r>
        <w:rPr>
          <w:b/>
          <w:sz w:val="22"/>
        </w:rPr>
        <w:t>Answer: c</w:t>
      </w:r>
    </w:p>
    <w:p>
      <w:pPr>
        <w:spacing w:after="0" w:before="0"/>
      </w:pPr>
      <w:r>
        <w:rPr>
          <w:b w:val="0"/>
          <w:sz w:val="21"/>
        </w:rPr>
        <w:t>Solution: A trauma (RTA) patient requires high-concentration oxygen; a non-rebreather mask at 12-15 L/min is the appropriate method.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Apical pulse is 80/min and radial pulse is 65/min. Identify Pulse deficit?</w:t>
      </w:r>
    </w:p>
    <w:p>
      <w:pPr>
        <w:spacing w:after="0" w:before="0"/>
      </w:pPr>
      <w:r>
        <w:rPr>
          <w:b w:val="0"/>
          <w:sz w:val="22"/>
        </w:rPr>
        <w:t>(a) 10</w:t>
      </w:r>
    </w:p>
    <w:p>
      <w:pPr>
        <w:spacing w:after="0" w:before="0"/>
      </w:pPr>
      <w:r>
        <w:rPr>
          <w:b w:val="0"/>
          <w:sz w:val="22"/>
        </w:rPr>
        <w:t>(b) 15</w:t>
      </w:r>
    </w:p>
    <w:p>
      <w:pPr>
        <w:spacing w:after="0" w:before="0"/>
      </w:pPr>
      <w:r>
        <w:rPr>
          <w:b w:val="0"/>
          <w:sz w:val="22"/>
        </w:rPr>
        <w:t>(c) 25</w:t>
      </w:r>
    </w:p>
    <w:p>
      <w:pPr>
        <w:spacing w:after="0" w:before="0"/>
      </w:pPr>
      <w:r>
        <w:rPr>
          <w:b w:val="0"/>
          <w:sz w:val="22"/>
        </w:rPr>
        <w:t>(d) 35</w:t>
      </w:r>
    </w:p>
    <w:p>
      <w:pPr>
        <w:spacing w:after="0" w:before="40"/>
      </w:pPr>
      <w:r>
        <w:rPr>
          <w:b/>
          <w:sz w:val="22"/>
        </w:rPr>
        <w:t>Answer: b</w:t>
      </w:r>
    </w:p>
    <w:p>
      <w:pPr>
        <w:spacing w:after="0" w:before="0"/>
      </w:pPr>
      <w:r>
        <w:rPr>
          <w:b w:val="0"/>
          <w:sz w:val="21"/>
        </w:rPr>
        <w:t>Solution: Pulse deficit = apical pulse − radial pulse = 80 − 65 = 15.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Lack of urine formation</w:t>
      </w:r>
    </w:p>
    <w:p>
      <w:pPr>
        <w:spacing w:after="0" w:before="0"/>
      </w:pPr>
      <w:r>
        <w:rPr>
          <w:b w:val="0"/>
          <w:sz w:val="22"/>
        </w:rPr>
        <w:t>(b) Diminished ability of the kidneys to concentrate the urine</w:t>
      </w:r>
    </w:p>
    <w:p>
      <w:pPr>
        <w:spacing w:after="0" w:before="0"/>
      </w:pPr>
      <w:r>
        <w:rPr>
          <w:b w:val="0"/>
          <w:sz w:val="22"/>
        </w:rPr>
        <w:t>(c) Passing too much urine at night</w:t>
      </w:r>
    </w:p>
    <w:p>
      <w:pPr>
        <w:spacing w:after="0" w:before="0"/>
      </w:pPr>
      <w:r>
        <w:rPr>
          <w:b w:val="0"/>
          <w:sz w:val="22"/>
        </w:rPr>
        <w:t>(d) Dark colored urine</w:t>
      </w:r>
    </w:p>
    <w:p>
      <w:pPr>
        <w:spacing w:after="0" w:before="40"/>
      </w:pPr>
      <w:r>
        <w:rPr>
          <w:b/>
          <w:sz w:val="22"/>
        </w:rPr>
        <w:t>Answer: b</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correct procedure performed for arterial blood gas (ABG) sampling</w:t>
      </w:r>
    </w:p>
    <w:p>
      <w:pPr>
        <w:spacing w:after="0" w:before="0"/>
      </w:pPr>
      <w:r>
        <w:rPr>
          <w:b w:val="0"/>
          <w:sz w:val="22"/>
        </w:rPr>
        <w:t>(a) Central line insertion</w:t>
      </w:r>
    </w:p>
    <w:p>
      <w:pPr>
        <w:spacing w:after="0" w:before="0"/>
      </w:pPr>
      <w:r>
        <w:rPr>
          <w:b w:val="0"/>
          <w:sz w:val="22"/>
        </w:rPr>
        <w:t>(b) Venipuncture</w:t>
      </w:r>
    </w:p>
    <w:p>
      <w:pPr>
        <w:spacing w:after="0" w:before="0"/>
      </w:pPr>
      <w:r>
        <w:rPr>
          <w:b w:val="0"/>
          <w:sz w:val="22"/>
        </w:rPr>
        <w:t>(c) Blood sampling for ABG analysis</w:t>
      </w:r>
    </w:p>
    <w:p>
      <w:pPr>
        <w:spacing w:after="0" w:before="0"/>
      </w:pPr>
      <w:r>
        <w:rPr>
          <w:b w:val="0"/>
          <w:sz w:val="22"/>
        </w:rPr>
        <w:t>(d) IV Drug Administration</w:t>
      </w:r>
    </w:p>
    <w:p>
      <w:pPr>
        <w:spacing w:after="0" w:before="40"/>
      </w:pPr>
      <w:r>
        <w:rPr>
          <w:b/>
          <w:sz w:val="22"/>
        </w:rPr>
        <w:t>Answer: c</w:t>
      </w:r>
    </w:p>
    <w:p>
      <w:pPr>
        <w:spacing w:after="0" w:before="0"/>
      </w:pPr>
      <w:r>
        <w:rPr>
          <w:b w:val="0"/>
          <w:sz w:val="21"/>
        </w:rPr>
        <w:t>Solution: ABG sampling is performed primarily from the radial artery to evaluate acid-base balance, PaO2, and PaCO2.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High-calorie nutritional support</w:t>
      </w:r>
    </w:p>
    <w:p>
      <w:pPr>
        <w:spacing w:after="0" w:before="0"/>
      </w:pPr>
      <w:r>
        <w:rPr>
          <w:b w:val="0"/>
          <w:sz w:val="22"/>
        </w:rPr>
        <w:t>(b) Airway assessment and fluid resuscitation</w:t>
      </w:r>
    </w:p>
    <w:p>
      <w:pPr>
        <w:spacing w:after="0" w:before="0"/>
      </w:pPr>
      <w:r>
        <w:rPr>
          <w:b w:val="0"/>
          <w:sz w:val="22"/>
        </w:rPr>
        <w:t>(c) Frequent dressing changes</w:t>
      </w:r>
    </w:p>
    <w:p>
      <w:pPr>
        <w:spacing w:after="0" w:before="0"/>
      </w:pPr>
      <w:r>
        <w:rPr>
          <w:b w:val="0"/>
          <w:sz w:val="22"/>
        </w:rPr>
        <w:t>(d) Initial burn wound debridement</w:t>
      </w:r>
    </w:p>
    <w:p>
      <w:pPr>
        <w:spacing w:after="0" w:before="40"/>
      </w:pPr>
      <w:r>
        <w:rPr>
          <w:b/>
          <w:sz w:val="22"/>
        </w:rPr>
        <w:t>Answer: b</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60 mg 500 mcg</w:t>
      </w:r>
    </w:p>
    <w:p>
      <w:pPr>
        <w:spacing w:after="0" w:before="0"/>
      </w:pPr>
      <w:r>
        <w:rPr>
          <w:b w:val="0"/>
          <w:sz w:val="22"/>
        </w:rPr>
        <w:t>(b) 20 mg 150 mg</w:t>
      </w:r>
    </w:p>
    <w:p>
      <w:pPr>
        <w:spacing w:after="0" w:before="0"/>
      </w:pPr>
      <w:r>
        <w:rPr>
          <w:b w:val="0"/>
          <w:sz w:val="22"/>
        </w:rPr>
        <w:t>(c) 100 mg 250 mg</w:t>
      </w:r>
    </w:p>
    <w:p>
      <w:pPr>
        <w:spacing w:after="0" w:before="0"/>
      </w:pPr>
      <w:r>
        <w:rPr>
          <w:b w:val="0"/>
          <w:sz w:val="22"/>
        </w:rPr>
        <w:t>(d) 30 mg 200 mg</w:t>
      </w:r>
    </w:p>
    <w:p>
      <w:pPr>
        <w:spacing w:after="0" w:before="40"/>
      </w:pPr>
      <w:r>
        <w:rPr>
          <w:b/>
          <w:sz w:val="22"/>
        </w:rPr>
        <w:t>Answer: a</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clinical features is not typically seen in delirium?</w:t>
      </w:r>
    </w:p>
    <w:p>
      <w:pPr>
        <w:spacing w:after="0" w:before="0"/>
      </w:pPr>
      <w:r>
        <w:rPr>
          <w:b w:val="0"/>
          <w:sz w:val="22"/>
        </w:rPr>
        <w:t>(a) Disturb the Sleep wake cycle</w:t>
      </w:r>
    </w:p>
    <w:p>
      <w:pPr>
        <w:spacing w:after="0" w:before="0"/>
      </w:pPr>
      <w:r>
        <w:rPr>
          <w:b w:val="0"/>
          <w:sz w:val="22"/>
        </w:rPr>
        <w:t>(b) Agitation</w:t>
      </w:r>
    </w:p>
    <w:p>
      <w:pPr>
        <w:spacing w:after="0" w:before="0"/>
      </w:pPr>
      <w:r>
        <w:rPr>
          <w:b w:val="0"/>
          <w:sz w:val="22"/>
        </w:rPr>
        <w:t>(c) Sun-downer syndrome</w:t>
      </w:r>
    </w:p>
    <w:p>
      <w:pPr>
        <w:spacing w:after="0" w:before="0"/>
      </w:pPr>
      <w:r>
        <w:rPr>
          <w:b w:val="0"/>
          <w:sz w:val="22"/>
        </w:rPr>
        <w:t>(d) Visual hallucination</w:t>
      </w:r>
    </w:p>
    <w:p>
      <w:pPr>
        <w:spacing w:after="0" w:before="40"/>
      </w:pPr>
      <w:r>
        <w:rPr>
          <w:b/>
          <w:sz w:val="22"/>
        </w:rPr>
        <w:t>Answer: a</w:t>
      </w:r>
    </w:p>
    <w:p>
      <w:pPr>
        <w:spacing w:after="0" w:before="0"/>
      </w:pPr>
      <w:r>
        <w:rPr>
          <w:b w:val="0"/>
          <w:sz w:val="21"/>
        </w:rPr>
        <w:t>Solution: Sundown syndrome is typically not seen in delirium, its characteristic of dementia. Delirium is a common neuropsychiatric syndrome characterized by a disturbance in attention and awareness, which develops over a short period of time and fluctuates in severity. The key clinical features of delirium include disturbance in attention, disorganized thinking, and altered level of consciousness. In addition to these features, patients with delirium may exhibit symptoms like visual hallucinations, fluctuating levels of consciousness, sleep-wake cycle disturbance, and agitation.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