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Which assessment finding is the EARLIEST indicator of compartment syndrome in a client with a fractured tibia?</w:t>
      </w:r>
    </w:p>
    <w:p>
      <w:pPr>
        <w:spacing w:after="0" w:before="0"/>
      </w:pPr>
      <w:r>
        <w:rPr>
          <w:b w:val="0"/>
          <w:sz w:val="22"/>
        </w:rPr>
        <w:t>(a) Capillary refill of 5 seconds</w:t>
      </w:r>
    </w:p>
    <w:p>
      <w:pPr>
        <w:spacing w:after="0" w:before="0"/>
      </w:pPr>
      <w:r>
        <w:rPr>
          <w:b w:val="0"/>
          <w:sz w:val="22"/>
        </w:rPr>
        <w:t>(b) Cool, cyanotic toes</w:t>
      </w:r>
    </w:p>
    <w:p>
      <w:pPr>
        <w:spacing w:after="0" w:before="0"/>
      </w:pPr>
      <w:r>
        <w:rPr>
          <w:b w:val="0"/>
          <w:sz w:val="22"/>
        </w:rPr>
        <w:t>(c) Pain out of proportion that increases with passive stretch</w:t>
      </w:r>
    </w:p>
    <w:p>
      <w:pPr>
        <w:spacing w:after="0" w:before="0"/>
      </w:pPr>
      <w:r>
        <w:rPr>
          <w:b w:val="0"/>
          <w:sz w:val="22"/>
        </w:rPr>
        <w:t>(d) Absent pedal pulse</w:t>
      </w:r>
    </w:p>
    <w:p>
      <w:pPr>
        <w:spacing w:after="0" w:before="40"/>
      </w:pPr>
      <w:r>
        <w:rPr>
          <w:b/>
          <w:sz w:val="22"/>
        </w:rPr>
        <w:t>Answer: c</w:t>
      </w:r>
    </w:p>
    <w:p>
      <w:pPr>
        <w:spacing w:after="0" w:before="0"/>
      </w:pPr>
      <w:r>
        <w:rPr>
          <w:b w:val="0"/>
          <w:sz w:val="21"/>
        </w:rPr>
        <w:t>Solution: Severe pain worsened by passive stretching is the earliest sign of compartment syndrome; pallor and absent pulses are late findings that appear after irreversible damage.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Caudal regression syndrome primarily affects which body system?</w:t>
      </w:r>
    </w:p>
    <w:p>
      <w:pPr>
        <w:spacing w:after="0" w:before="0"/>
      </w:pPr>
      <w:r>
        <w:rPr>
          <w:b w:val="0"/>
          <w:sz w:val="22"/>
        </w:rPr>
        <w:t>(a) Integumentry system</w:t>
      </w:r>
    </w:p>
    <w:p>
      <w:pPr>
        <w:spacing w:after="0" w:before="0"/>
      </w:pPr>
      <w:r>
        <w:rPr>
          <w:b w:val="0"/>
          <w:sz w:val="22"/>
        </w:rPr>
        <w:t>(b) Nervous system</w:t>
      </w:r>
    </w:p>
    <w:p>
      <w:pPr>
        <w:spacing w:after="0" w:before="0"/>
      </w:pPr>
      <w:r>
        <w:rPr>
          <w:b w:val="0"/>
          <w:sz w:val="22"/>
        </w:rPr>
        <w:t>(c) Musculoskeletal system</w:t>
      </w:r>
    </w:p>
    <w:p>
      <w:pPr>
        <w:spacing w:after="0" w:before="0"/>
      </w:pPr>
      <w:r>
        <w:rPr>
          <w:b w:val="0"/>
          <w:sz w:val="22"/>
        </w:rPr>
        <w:t>(d) Cardiovascular system</w:t>
      </w:r>
    </w:p>
    <w:p>
      <w:pPr>
        <w:spacing w:after="0" w:before="40"/>
      </w:pPr>
      <w:r>
        <w:rPr>
          <w:b/>
          <w:sz w:val="22"/>
        </w:rPr>
        <w:t>Answer: c</w:t>
      </w:r>
    </w:p>
    <w:p>
      <w:pPr>
        <w:spacing w:after="0" w:before="0"/>
      </w:pPr>
      <w:r>
        <w:rPr>
          <w:b w:val="0"/>
          <w:sz w:val="21"/>
        </w:rPr>
        <w:t>Solution: Caudal regression syndrome primarily affects the musculoskeletal system (option D). Caudal regression syndrome is a rare congenital disorder that involves abnormal development of the lower spine and other structures in the lower body. It is characterized by the absence or underdevelopment of the tailbone (coccyx) and varying degrees of malformation in the lower spine, pelvis, and lower extremities. The nervous system (option A) can also be affected, leading to neurological deficits, but the primary impact is on the musculoskeletal system. The cardiovascular system (option B) and integumentary system (option C) may be indirectly influenced by the skeletal and neural abnormalities.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According to the Parkland formula, the fluid requirement in the first 24 hours for a burn patient is calculated as:</w:t>
      </w:r>
    </w:p>
    <w:p>
      <w:pPr>
        <w:spacing w:after="0" w:before="0"/>
      </w:pPr>
      <w:r>
        <w:rPr>
          <w:b w:val="0"/>
          <w:sz w:val="22"/>
        </w:rPr>
        <w:t>(a) 2 ml × %BSA × body weight (kg)</w:t>
      </w:r>
    </w:p>
    <w:p>
      <w:pPr>
        <w:spacing w:after="0" w:before="0"/>
      </w:pPr>
      <w:r>
        <w:rPr>
          <w:b w:val="0"/>
          <w:sz w:val="22"/>
        </w:rPr>
        <w:t>(b) 3 ml × %BSA × body weight (kg)</w:t>
      </w:r>
    </w:p>
    <w:p>
      <w:pPr>
        <w:spacing w:after="0" w:before="0"/>
      </w:pPr>
      <w:r>
        <w:rPr>
          <w:b w:val="0"/>
          <w:sz w:val="22"/>
        </w:rPr>
        <w:t>(c) 4 ml × %BSA × body weight (kg)</w:t>
      </w:r>
    </w:p>
    <w:p>
      <w:pPr>
        <w:spacing w:after="0" w:before="0"/>
      </w:pPr>
      <w:r>
        <w:rPr>
          <w:b w:val="0"/>
          <w:sz w:val="22"/>
        </w:rPr>
        <w:t>(d) 1 ml × %BSA × body weight (kg)</w:t>
      </w:r>
    </w:p>
    <w:p>
      <w:pPr>
        <w:spacing w:after="0" w:before="40"/>
      </w:pPr>
      <w:r>
        <w:rPr>
          <w:b/>
          <w:sz w:val="22"/>
        </w:rPr>
        <w:t>Answer: c</w:t>
      </w:r>
    </w:p>
    <w:p>
      <w:pPr>
        <w:spacing w:after="0" w:before="0"/>
      </w:pPr>
      <w:r>
        <w:rPr>
          <w:b w:val="0"/>
          <w:sz w:val="21"/>
        </w:rPr>
        <w:t>Solution: Parkland formula: 4 ml × % body surface area burned × body weight (kg) in the first 24 hours; half in the first 8 hours.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measurements CANNOT be recorded by a standard bedside Pulse Oximeter?</w:t>
      </w:r>
    </w:p>
    <w:p>
      <w:pPr>
        <w:spacing w:after="0" w:before="0"/>
      </w:pPr>
      <w:r>
        <w:rPr>
          <w:b w:val="0"/>
          <w:sz w:val="22"/>
        </w:rPr>
        <w:t>(a) Electrocardiogram (ECG) waveform</w:t>
      </w:r>
    </w:p>
    <w:p>
      <w:pPr>
        <w:spacing w:after="0" w:before="0"/>
      </w:pPr>
      <w:r>
        <w:rPr>
          <w:b w:val="0"/>
          <w:sz w:val="22"/>
        </w:rPr>
        <w:t>(b) Peripheral perfusion index</w:t>
      </w:r>
    </w:p>
    <w:p>
      <w:pPr>
        <w:spacing w:after="0" w:before="0"/>
      </w:pPr>
      <w:r>
        <w:rPr>
          <w:b w:val="0"/>
          <w:sz w:val="22"/>
        </w:rPr>
        <w:t>(c) Pulse rate (BPM)</w:t>
      </w:r>
    </w:p>
    <w:p>
      <w:pPr>
        <w:spacing w:after="0" w:before="0"/>
      </w:pPr>
      <w:r>
        <w:rPr>
          <w:b w:val="0"/>
          <w:sz w:val="22"/>
        </w:rPr>
        <w:t>(d) Oxygen saturation (SpO2%)</w:t>
      </w:r>
    </w:p>
    <w:p>
      <w:pPr>
        <w:spacing w:after="0" w:before="40"/>
      </w:pPr>
      <w:r>
        <w:rPr>
          <w:b/>
          <w:sz w:val="22"/>
        </w:rPr>
        <w:t>Answer: a</w:t>
      </w:r>
    </w:p>
    <w:p>
      <w:pPr>
        <w:spacing w:after="0" w:before="0"/>
      </w:pPr>
      <w:r>
        <w:rPr>
          <w:b w:val="0"/>
          <w:sz w:val="21"/>
        </w:rPr>
        <w:t>Solution: Pulse oximeters measure arterial oxygen saturation (SpO2) and pulse rate photoplethysmographically; they cannot record cardiac electrical activity (ECG).</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After receiving change-of-shift report, which client should the nurse assess FIRST?</w:t>
      </w:r>
    </w:p>
    <w:p>
      <w:pPr>
        <w:spacing w:after="0" w:before="0"/>
      </w:pPr>
      <w:r>
        <w:rPr>
          <w:b w:val="0"/>
          <w:sz w:val="22"/>
        </w:rPr>
        <w:t>(a) A client who had an uneventful postoperative night</w:t>
      </w:r>
    </w:p>
    <w:p>
      <w:pPr>
        <w:spacing w:after="0" w:before="0"/>
      </w:pPr>
      <w:r>
        <w:rPr>
          <w:b w:val="0"/>
          <w:sz w:val="22"/>
        </w:rPr>
        <w:t>(b) A client requesting pain medication</w:t>
      </w:r>
    </w:p>
    <w:p>
      <w:pPr>
        <w:spacing w:after="0" w:before="0"/>
      </w:pPr>
      <w:r>
        <w:rPr>
          <w:b w:val="0"/>
          <w:sz w:val="22"/>
        </w:rPr>
        <w:t>(c) A client scheduled for surgery in 2 hours</w:t>
      </w:r>
    </w:p>
    <w:p>
      <w:pPr>
        <w:spacing w:after="0" w:before="0"/>
      </w:pPr>
      <w:r>
        <w:rPr>
          <w:b w:val="0"/>
          <w:sz w:val="22"/>
        </w:rPr>
        <w:t>(d) A client with chest pain, diaphoresis and BP 90/60 mm Hg</w:t>
      </w:r>
    </w:p>
    <w:p>
      <w:pPr>
        <w:spacing w:after="0" w:before="40"/>
      </w:pPr>
      <w:r>
        <w:rPr>
          <w:b/>
          <w:sz w:val="22"/>
        </w:rPr>
        <w:t>Answer: d</w:t>
      </w:r>
    </w:p>
    <w:p>
      <w:pPr>
        <w:spacing w:after="0" w:before="0"/>
      </w:pPr>
      <w:r>
        <w:rPr>
          <w:b w:val="0"/>
          <w:sz w:val="21"/>
        </w:rPr>
        <w:t>Solution: Chest pain with diaphoresis and hypotension suggests an acute cardiac event; this client is at greatest risk and is assessed first (ABC/priority framework).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receiving IV fluids for dehydration becomes restless; the IV catheter has slipped out of the vein and the fluid is leaking into the surrounding tissues, causing swelling. Which term best describes this occurrence?</w:t>
      </w:r>
    </w:p>
    <w:p>
      <w:pPr>
        <w:spacing w:after="0" w:before="0"/>
      </w:pPr>
      <w:r>
        <w:rPr>
          <w:b w:val="0"/>
          <w:sz w:val="22"/>
        </w:rPr>
        <w:t>(a) Infiltration</w:t>
      </w:r>
    </w:p>
    <w:p>
      <w:pPr>
        <w:spacing w:after="0" w:before="0"/>
      </w:pPr>
      <w:r>
        <w:rPr>
          <w:b w:val="0"/>
          <w:sz w:val="22"/>
        </w:rPr>
        <w:t>(b) Infection</w:t>
      </w:r>
    </w:p>
    <w:p>
      <w:pPr>
        <w:spacing w:after="0" w:before="0"/>
      </w:pPr>
      <w:r>
        <w:rPr>
          <w:b w:val="0"/>
          <w:sz w:val="22"/>
        </w:rPr>
        <w:t>(c) Fluid overload</w:t>
      </w:r>
    </w:p>
    <w:p>
      <w:pPr>
        <w:spacing w:after="0" w:before="0"/>
      </w:pPr>
      <w:r>
        <w:rPr>
          <w:b w:val="0"/>
          <w:sz w:val="22"/>
        </w:rPr>
        <w:t>(d) Extravasation</w:t>
      </w:r>
    </w:p>
    <w:p>
      <w:pPr>
        <w:spacing w:after="0" w:before="40"/>
      </w:pPr>
      <w:r>
        <w:rPr>
          <w:b/>
          <w:sz w:val="22"/>
        </w:rPr>
        <w:t>Answer: a</w:t>
      </w:r>
    </w:p>
    <w:p>
      <w:pPr>
        <w:spacing w:after="0" w:before="0"/>
      </w:pPr>
      <w:r>
        <w:rPr>
          <w:b w:val="0"/>
          <w:sz w:val="21"/>
        </w:rPr>
        <w:t>Solution: Swelling, coolness and continued pain at the IV site with infusion despite restlessness indicate infiltration of the cannula.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bus related to bus depo then aeroplane is related to?</w:t>
      </w:r>
    </w:p>
    <w:p>
      <w:pPr>
        <w:spacing w:after="0" w:before="0"/>
      </w:pPr>
      <w:r>
        <w:rPr>
          <w:b w:val="0"/>
          <w:sz w:val="22"/>
        </w:rPr>
        <w:t>(a) Airport</w:t>
      </w:r>
    </w:p>
    <w:p>
      <w:pPr>
        <w:spacing w:after="0" w:before="0"/>
      </w:pPr>
      <w:r>
        <w:rPr>
          <w:b w:val="0"/>
          <w:sz w:val="22"/>
        </w:rPr>
        <w:t>(b) Yard</w:t>
      </w:r>
    </w:p>
    <w:p>
      <w:pPr>
        <w:spacing w:after="0" w:before="0"/>
      </w:pPr>
      <w:r>
        <w:rPr>
          <w:b w:val="0"/>
          <w:sz w:val="22"/>
        </w:rPr>
        <w:t>(c) Hangar</w:t>
      </w:r>
    </w:p>
    <w:p>
      <w:pPr>
        <w:spacing w:after="0" w:before="0"/>
      </w:pPr>
      <w:r>
        <w:rPr>
          <w:b w:val="0"/>
          <w:sz w:val="22"/>
        </w:rPr>
        <w:t>(d) Garage</w:t>
      </w:r>
    </w:p>
    <w:p>
      <w:pPr>
        <w:spacing w:after="0" w:before="40"/>
      </w:pPr>
      <w:r>
        <w:rPr>
          <w:b/>
          <w:sz w:val="22"/>
        </w:rPr>
        <w:t>Answer: c</w:t>
      </w:r>
    </w:p>
    <w:p>
      <w:pPr>
        <w:spacing w:after="0" w:before="0"/>
      </w:pPr>
      <w:r>
        <w:rPr>
          <w:b w:val="0"/>
          <w:sz w:val="21"/>
        </w:rPr>
        <w:t>Solution: If a bus is related to the bus depot, then an airplane is related to a hangar (option D). A bus depot is a designated area where buses are parked, maintained, and serviced. Similarly, an airplane is commonly stored, maintained, and sheltered in a hangar. A hangar is a large structure or building specifically designed to accommodate and protect aircraft. It provides storage, maintenance facilities, and a controlled environment for airplanes. Just as a bus is associated with a bus depot, an airplane is associated with a hangar for proper storage, maintenance, and security.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Most sensitive index of the health of a community is</w:t>
      </w:r>
    </w:p>
    <w:p>
      <w:pPr>
        <w:spacing w:after="0" w:before="0"/>
      </w:pPr>
      <w:r>
        <w:rPr>
          <w:b w:val="0"/>
          <w:sz w:val="22"/>
        </w:rPr>
        <w:t>(a) Crude Death Rate</w:t>
      </w:r>
    </w:p>
    <w:p>
      <w:pPr>
        <w:spacing w:after="0" w:before="0"/>
      </w:pPr>
      <w:r>
        <w:rPr>
          <w:b w:val="0"/>
          <w:sz w:val="22"/>
        </w:rPr>
        <w:t>(b) Infant Mortality Rate</w:t>
      </w:r>
    </w:p>
    <w:p>
      <w:pPr>
        <w:spacing w:after="0" w:before="0"/>
      </w:pPr>
      <w:r>
        <w:rPr>
          <w:b w:val="0"/>
          <w:sz w:val="22"/>
        </w:rPr>
        <w:t>(c) Crude Birth Rate</w:t>
      </w:r>
    </w:p>
    <w:p>
      <w:pPr>
        <w:spacing w:after="0" w:before="0"/>
      </w:pPr>
      <w:r>
        <w:rPr>
          <w:b w:val="0"/>
          <w:sz w:val="22"/>
        </w:rPr>
        <w:t>(d) MMR</w:t>
      </w:r>
    </w:p>
    <w:p>
      <w:pPr>
        <w:spacing w:after="0" w:before="40"/>
      </w:pPr>
      <w:r>
        <w:rPr>
          <w:b/>
          <w:sz w:val="22"/>
        </w:rPr>
        <w:t>Answer: b</w:t>
      </w:r>
    </w:p>
    <w:p>
      <w:pPr>
        <w:spacing w:after="0" w:before="0"/>
      </w:pPr>
      <w:r>
        <w:rPr>
          <w:b w:val="0"/>
          <w:sz w:val="21"/>
        </w:rPr>
        <w:t>Solution: Infant mortality rate (IMR) is the most sensitive index of the health of a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conditions is NOT prevented or covered by the MMR vaccine?</w:t>
      </w:r>
    </w:p>
    <w:p>
      <w:pPr>
        <w:spacing w:after="0" w:before="0"/>
      </w:pPr>
      <w:r>
        <w:rPr>
          <w:b w:val="0"/>
          <w:sz w:val="22"/>
        </w:rPr>
        <w:t>(a) Mumps</w:t>
      </w:r>
    </w:p>
    <w:p>
      <w:pPr>
        <w:spacing w:after="0" w:before="0"/>
      </w:pPr>
      <w:r>
        <w:rPr>
          <w:b w:val="0"/>
          <w:sz w:val="22"/>
        </w:rPr>
        <w:t>(b) Rickets</w:t>
      </w:r>
    </w:p>
    <w:p>
      <w:pPr>
        <w:spacing w:after="0" w:before="0"/>
      </w:pPr>
      <w:r>
        <w:rPr>
          <w:b w:val="0"/>
          <w:sz w:val="22"/>
        </w:rPr>
        <w:t>(c) Measles</w:t>
      </w:r>
    </w:p>
    <w:p>
      <w:pPr>
        <w:spacing w:after="0" w:before="0"/>
      </w:pPr>
      <w:r>
        <w:rPr>
          <w:b w:val="0"/>
          <w:sz w:val="22"/>
        </w:rPr>
        <w:t>(d) Rubella</w:t>
      </w:r>
    </w:p>
    <w:p>
      <w:pPr>
        <w:spacing w:after="0" w:before="40"/>
      </w:pPr>
      <w:r>
        <w:rPr>
          <w:b/>
          <w:sz w:val="22"/>
        </w:rPr>
        <w:t>Answer: b</w:t>
      </w:r>
    </w:p>
    <w:p>
      <w:pPr>
        <w:spacing w:after="0" w:before="0"/>
      </w:pPr>
      <w:r>
        <w:rPr>
          <w:b w:val="0"/>
          <w:sz w:val="21"/>
        </w:rPr>
        <w:t>Solution: MMR vaccine protects against Measles, Mumps, and Rubella. Rickets is a nutritional bone disorder caused by Vitamin D deficiency.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Height measurement of 2 year old child is done by</w:t>
      </w:r>
    </w:p>
    <w:p>
      <w:pPr>
        <w:spacing w:after="0" w:before="0"/>
      </w:pPr>
      <w:r>
        <w:rPr>
          <w:b w:val="0"/>
          <w:sz w:val="22"/>
        </w:rPr>
        <w:t>(a) Stadiometer</w:t>
      </w:r>
    </w:p>
    <w:p>
      <w:pPr>
        <w:spacing w:after="0" w:before="0"/>
      </w:pPr>
      <w:r>
        <w:rPr>
          <w:b w:val="0"/>
          <w:sz w:val="22"/>
        </w:rPr>
        <w:t>(b) Infantometer</w:t>
      </w:r>
    </w:p>
    <w:p>
      <w:pPr>
        <w:spacing w:after="0" w:before="0"/>
      </w:pPr>
      <w:r>
        <w:rPr>
          <w:b w:val="0"/>
          <w:sz w:val="22"/>
        </w:rPr>
        <w:t>(c) Goniometer</w:t>
      </w:r>
    </w:p>
    <w:p>
      <w:pPr>
        <w:spacing w:after="0" w:before="0"/>
      </w:pPr>
      <w:r>
        <w:rPr>
          <w:b w:val="0"/>
          <w:sz w:val="22"/>
        </w:rPr>
        <w:t>(d) Refractometer</w:t>
      </w:r>
    </w:p>
    <w:p>
      <w:pPr>
        <w:spacing w:after="0" w:before="40"/>
      </w:pPr>
      <w:r>
        <w:rPr>
          <w:b/>
          <w:sz w:val="22"/>
        </w:rPr>
        <w:t>Answer: a</w:t>
      </w:r>
    </w:p>
    <w:p>
      <w:pPr>
        <w:spacing w:after="0" w:before="0"/>
      </w:pPr>
      <w:r>
        <w:rPr>
          <w:b w:val="0"/>
          <w:sz w:val="21"/>
        </w:rPr>
        <w:t>Solution: Height of a 2-year-old child is measured with a stadiometer (standing height).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earliest sign of hypoxia is:</w:t>
      </w:r>
    </w:p>
    <w:p>
      <w:pPr>
        <w:spacing w:after="0" w:before="0"/>
      </w:pPr>
      <w:r>
        <w:rPr>
          <w:b w:val="0"/>
          <w:sz w:val="22"/>
        </w:rPr>
        <w:t>(a) Unconsciousness</w:t>
      </w:r>
    </w:p>
    <w:p>
      <w:pPr>
        <w:spacing w:after="0" w:before="0"/>
      </w:pPr>
      <w:r>
        <w:rPr>
          <w:b w:val="0"/>
          <w:sz w:val="22"/>
        </w:rPr>
        <w:t>(b) Bradycardia</w:t>
      </w:r>
    </w:p>
    <w:p>
      <w:pPr>
        <w:spacing w:after="0" w:before="0"/>
      </w:pPr>
      <w:r>
        <w:rPr>
          <w:b w:val="0"/>
          <w:sz w:val="22"/>
        </w:rPr>
        <w:t>(c) Cyanosis</w:t>
      </w:r>
    </w:p>
    <w:p>
      <w:pPr>
        <w:spacing w:after="0" w:before="0"/>
      </w:pPr>
      <w:r>
        <w:rPr>
          <w:b w:val="0"/>
          <w:sz w:val="22"/>
        </w:rPr>
        <w:t>(d) Restlessness and anxiety</w:t>
      </w:r>
    </w:p>
    <w:p>
      <w:pPr>
        <w:spacing w:after="0" w:before="40"/>
      </w:pPr>
      <w:r>
        <w:rPr>
          <w:b/>
          <w:sz w:val="22"/>
        </w:rPr>
        <w:t>Answer: d</w:t>
      </w:r>
    </w:p>
    <w:p>
      <w:pPr>
        <w:spacing w:after="0" w:before="0"/>
      </w:pPr>
      <w:r>
        <w:rPr>
          <w:b w:val="0"/>
          <w:sz w:val="21"/>
        </w:rPr>
        <w:t>Solution: Restlessness and anxiety are early signs of hypoxia; cyanosis appears late.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aspect of mental functioning is being assessed when a nursing officer asks a patient to explain the difference between an apple and an orange during a mental status examination (MSE)?</w:t>
      </w:r>
    </w:p>
    <w:p>
      <w:pPr>
        <w:spacing w:after="0" w:before="0"/>
      </w:pPr>
      <w:r>
        <w:rPr>
          <w:b w:val="0"/>
          <w:sz w:val="22"/>
        </w:rPr>
        <w:t>(a) Comprehension</w:t>
      </w:r>
    </w:p>
    <w:p>
      <w:pPr>
        <w:spacing w:after="0" w:before="0"/>
      </w:pPr>
      <w:r>
        <w:rPr>
          <w:b w:val="0"/>
          <w:sz w:val="22"/>
        </w:rPr>
        <w:t>(b) Ambivalence</w:t>
      </w:r>
    </w:p>
    <w:p>
      <w:pPr>
        <w:spacing w:after="0" w:before="0"/>
      </w:pPr>
      <w:r>
        <w:rPr>
          <w:b w:val="0"/>
          <w:sz w:val="22"/>
        </w:rPr>
        <w:t>(c) Intelligence</w:t>
      </w:r>
    </w:p>
    <w:p>
      <w:pPr>
        <w:spacing w:after="0" w:before="0"/>
      </w:pPr>
      <w:r>
        <w:rPr>
          <w:b w:val="0"/>
          <w:sz w:val="22"/>
        </w:rPr>
        <w:t>(d) Abstraction</w:t>
      </w:r>
    </w:p>
    <w:p>
      <w:pPr>
        <w:spacing w:after="0" w:before="40"/>
      </w:pPr>
      <w:r>
        <w:rPr>
          <w:b/>
          <w:sz w:val="22"/>
        </w:rPr>
        <w:t>Answer: d</w:t>
      </w:r>
    </w:p>
    <w:p>
      <w:pPr>
        <w:spacing w:after="0" w:before="0"/>
      </w:pPr>
      <w:r>
        <w:rPr>
          <w:b w:val="0"/>
          <w:sz w:val="21"/>
        </w:rPr>
        <w:t>Solution: When a nursing officer asks a patient to explain the difference between an apple and an orange during a mental status examination (MSE), the aspect of mental functioning being assessed is abstraction. Abstraction is the Ms E ( Psychiatry I cognitive ability to grasp concepts, think symbolically, and understand relationships between different objects or ideas. By asking the patient to compare and differentiate between two objects, the nursing officer can evaluate the patient's capacity for abstract thinking, which is an important aspect of mental functioning. Impairments in abstraction can be indicative of cognitive deficits or certain psychiatric conditions.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on bed rest should be repositioned at least every:</w:t>
      </w:r>
    </w:p>
    <w:p>
      <w:pPr>
        <w:spacing w:after="0" w:before="0"/>
      </w:pPr>
      <w:r>
        <w:rPr>
          <w:b w:val="0"/>
          <w:sz w:val="22"/>
        </w:rPr>
        <w:t>(a) 6 hours</w:t>
      </w:r>
    </w:p>
    <w:p>
      <w:pPr>
        <w:spacing w:after="0" w:before="0"/>
      </w:pPr>
      <w:r>
        <w:rPr>
          <w:b w:val="0"/>
          <w:sz w:val="22"/>
        </w:rPr>
        <w:t>(b) 1 hour</w:t>
      </w:r>
    </w:p>
    <w:p>
      <w:pPr>
        <w:spacing w:after="0" w:before="0"/>
      </w:pPr>
      <w:r>
        <w:rPr>
          <w:b w:val="0"/>
          <w:sz w:val="22"/>
        </w:rPr>
        <w:t>(c) 4 hours</w:t>
      </w:r>
    </w:p>
    <w:p>
      <w:pPr>
        <w:spacing w:after="0" w:before="0"/>
      </w:pPr>
      <w:r>
        <w:rPr>
          <w:b w:val="0"/>
          <w:sz w:val="22"/>
        </w:rPr>
        <w:t>(d) 2 hours</w:t>
      </w:r>
    </w:p>
    <w:p>
      <w:pPr>
        <w:spacing w:after="0" w:before="40"/>
      </w:pPr>
      <w:r>
        <w:rPr>
          <w:b/>
          <w:sz w:val="22"/>
        </w:rPr>
        <w:t>Answer: d</w:t>
      </w:r>
    </w:p>
    <w:p>
      <w:pPr>
        <w:spacing w:after="0" w:before="0"/>
      </w:pPr>
      <w:r>
        <w:rPr>
          <w:b w:val="0"/>
          <w:sz w:val="21"/>
        </w:rPr>
        <w:t>Solution: Repositioning every 2 hours prevents pressure injury in bedridden patients.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4th-year trainee student in the operating theatre asked the surgeon about a painless, movable subcutaneous nodule. The surgeon replied that it is most likely a:</w:t>
      </w:r>
    </w:p>
    <w:p>
      <w:pPr>
        <w:spacing w:after="0" w:before="0"/>
      </w:pPr>
      <w:r>
        <w:rPr>
          <w:b w:val="0"/>
          <w:sz w:val="22"/>
        </w:rPr>
        <w:t>(a) Lipoma</w:t>
      </w:r>
    </w:p>
    <w:p>
      <w:pPr>
        <w:spacing w:after="0" w:before="0"/>
      </w:pPr>
      <w:r>
        <w:rPr>
          <w:b w:val="0"/>
          <w:sz w:val="22"/>
        </w:rPr>
        <w:t>(b) Myeloma</w:t>
      </w:r>
    </w:p>
    <w:p>
      <w:pPr>
        <w:spacing w:after="0" w:before="0"/>
      </w:pPr>
      <w:r>
        <w:rPr>
          <w:b w:val="0"/>
          <w:sz w:val="22"/>
        </w:rPr>
        <w:t>(c) Adenoma</w:t>
      </w:r>
    </w:p>
    <w:p>
      <w:pPr>
        <w:spacing w:after="0" w:before="0"/>
      </w:pPr>
      <w:r>
        <w:rPr>
          <w:b w:val="0"/>
          <w:sz w:val="22"/>
        </w:rPr>
        <w:t>(d) Carcinoma</w:t>
      </w:r>
    </w:p>
    <w:p>
      <w:pPr>
        <w:spacing w:after="0" w:before="40"/>
      </w:pPr>
      <w:r>
        <w:rPr>
          <w:b/>
          <w:sz w:val="22"/>
        </w:rPr>
        <w:t>Answer: a</w:t>
      </w:r>
    </w:p>
    <w:p>
      <w:pPr>
        <w:spacing w:after="0" w:before="0"/>
      </w:pPr>
      <w:r>
        <w:rPr>
          <w:b w:val="0"/>
          <w:sz w:val="21"/>
        </w:rPr>
        <w:t>Solution: A lipoma is a benign tumour of fatty tissue that is soft, painless and freely movable under the skin; myeloma, adenoma and carcinoma are typically firmer, fixed or malignant lesions.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is the most appropriate method to assess the pulse in a newborn?</w:t>
      </w:r>
    </w:p>
    <w:p>
      <w:pPr>
        <w:spacing w:after="0" w:before="0"/>
      </w:pPr>
      <w:r>
        <w:rPr>
          <w:b w:val="0"/>
          <w:sz w:val="22"/>
        </w:rPr>
        <w:t>(a) Assessing the apical pulse for full 1 minute by stethoscope</w:t>
      </w:r>
    </w:p>
    <w:p>
      <w:pPr>
        <w:spacing w:after="0" w:before="0"/>
      </w:pPr>
      <w:r>
        <w:rPr>
          <w:b w:val="0"/>
          <w:sz w:val="22"/>
        </w:rPr>
        <w:t>(b) Assessing the brachial pulse for full 1 minute</w:t>
      </w:r>
    </w:p>
    <w:p>
      <w:pPr>
        <w:spacing w:after="0" w:before="0"/>
      </w:pPr>
      <w:r>
        <w:rPr>
          <w:b w:val="0"/>
          <w:sz w:val="22"/>
        </w:rPr>
        <w:t>(c) Assessing the radial pulse for 15 sec then multiply by 4</w:t>
      </w:r>
    </w:p>
    <w:p>
      <w:pPr>
        <w:spacing w:after="0" w:before="0"/>
      </w:pPr>
      <w:r>
        <w:rPr>
          <w:b w:val="0"/>
          <w:sz w:val="22"/>
        </w:rPr>
        <w:t>(d) Assessing radial pulse for full 1 minute by stethoscope</w:t>
      </w:r>
    </w:p>
    <w:p>
      <w:pPr>
        <w:spacing w:after="0" w:before="40"/>
      </w:pPr>
      <w:r>
        <w:rPr>
          <w:b/>
          <w:sz w:val="22"/>
        </w:rPr>
        <w:t>Answer: c</w:t>
      </w:r>
    </w:p>
    <w:p>
      <w:pPr>
        <w:spacing w:after="0" w:before="0"/>
      </w:pPr>
      <w:r>
        <w:rPr>
          <w:b w:val="0"/>
          <w:sz w:val="21"/>
        </w:rPr>
        <w:t>Solution: The most appropriate method to assess the pulse in a newborn is by assessing the apical pulse for a full 1 minute using a stethoscope. This method is preferred over the use of peripheral pulses like brachial or radial pulses. Newborns have a faster heart rate than adults and their peripheral pulses can be difficult to palpate accurately due to their small size and movements. Therefore, auscultating the apical pulse with a stethoscope for a full minute provides a more accurate measurement.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criteria for low birth weight baby</w:t>
      </w:r>
    </w:p>
    <w:p>
      <w:pPr>
        <w:spacing w:after="0" w:before="0"/>
      </w:pPr>
      <w:r>
        <w:rPr>
          <w:b w:val="0"/>
          <w:sz w:val="22"/>
        </w:rPr>
        <w:t>(a) 2.5 kg</w:t>
      </w:r>
    </w:p>
    <w:p>
      <w:pPr>
        <w:spacing w:after="0" w:before="0"/>
      </w:pPr>
      <w:r>
        <w:rPr>
          <w:b w:val="0"/>
          <w:sz w:val="22"/>
        </w:rPr>
        <w:t>(b) 1 kg</w:t>
      </w:r>
    </w:p>
    <w:p>
      <w:pPr>
        <w:spacing w:after="0" w:before="0"/>
      </w:pPr>
      <w:r>
        <w:rPr>
          <w:b w:val="0"/>
          <w:sz w:val="22"/>
        </w:rPr>
        <w:t>(c) 1.5 kg</w:t>
      </w:r>
    </w:p>
    <w:p>
      <w:pPr>
        <w:spacing w:after="0" w:before="0"/>
      </w:pPr>
      <w:r>
        <w:rPr>
          <w:b w:val="0"/>
          <w:sz w:val="22"/>
        </w:rPr>
        <w:t>(d) 3 kg</w:t>
      </w:r>
    </w:p>
    <w:p>
      <w:pPr>
        <w:spacing w:after="0" w:before="40"/>
      </w:pPr>
      <w:r>
        <w:rPr>
          <w:b/>
          <w:sz w:val="22"/>
        </w:rPr>
        <w:t>Answer: a</w:t>
      </w:r>
    </w:p>
    <w:p>
      <w:pPr>
        <w:spacing w:after="0" w:before="0"/>
      </w:pPr>
      <w:r>
        <w:rPr>
          <w:b w:val="0"/>
          <w:sz w:val="21"/>
        </w:rPr>
        <w:t>Solution: Low birth weight is defined as birth weight below 2.5 kg (2500 g) regardless of gestational 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method gives the most reliable confirmation that a nasogastric tube is correctly placed before feeding?</w:t>
      </w:r>
    </w:p>
    <w:p>
      <w:pPr>
        <w:spacing w:after="0" w:before="0"/>
      </w:pPr>
      <w:r>
        <w:rPr>
          <w:b w:val="0"/>
          <w:sz w:val="22"/>
        </w:rPr>
        <w:t>(a) Radiographic (X-ray) confirmation</w:t>
      </w:r>
    </w:p>
    <w:p>
      <w:pPr>
        <w:spacing w:after="0" w:before="0"/>
      </w:pPr>
      <w:r>
        <w:rPr>
          <w:b w:val="0"/>
          <w:sz w:val="22"/>
        </w:rPr>
        <w:t>(b) Auscultating air over the epigastrium</w:t>
      </w:r>
    </w:p>
    <w:p>
      <w:pPr>
        <w:spacing w:after="0" w:before="0"/>
      </w:pPr>
      <w:r>
        <w:rPr>
          <w:b w:val="0"/>
          <w:sz w:val="22"/>
        </w:rPr>
        <w:t>(c) Checking the pH of gastric aspirate</w:t>
      </w:r>
    </w:p>
    <w:p>
      <w:pPr>
        <w:spacing w:after="0" w:before="0"/>
      </w:pPr>
      <w:r>
        <w:rPr>
          <w:b w:val="0"/>
          <w:sz w:val="22"/>
        </w:rPr>
        <w:t>(d) Observing the client swallow without coughing</w:t>
      </w:r>
    </w:p>
    <w:p>
      <w:pPr>
        <w:spacing w:after="0" w:before="40"/>
      </w:pPr>
      <w:r>
        <w:rPr>
          <w:b/>
          <w:sz w:val="22"/>
        </w:rPr>
        <w:t>Answer: a</w:t>
      </w:r>
    </w:p>
    <w:p>
      <w:pPr>
        <w:spacing w:after="0" w:before="0"/>
      </w:pPr>
      <w:r>
        <w:rPr>
          <w:b w:val="0"/>
          <w:sz w:val="21"/>
        </w:rPr>
        <w:t>Solution: X-ray confirmation is the gold standard for NG tube placement; auscultation and pH are adjuncts but are not definitive, especially in high-risk clients.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newborn remains cyanotic with a heart rate of 60/min after drying and stimulation. What is the priority intervention?</w:t>
      </w:r>
    </w:p>
    <w:p>
      <w:pPr>
        <w:spacing w:after="0" w:before="0"/>
      </w:pPr>
      <w:r>
        <w:rPr>
          <w:b w:val="0"/>
          <w:sz w:val="22"/>
        </w:rPr>
        <w:t>(a) Begin positive-pressure ventilation</w:t>
      </w:r>
    </w:p>
    <w:p>
      <w:pPr>
        <w:spacing w:after="0" w:before="0"/>
      </w:pPr>
      <w:r>
        <w:rPr>
          <w:b w:val="0"/>
          <w:sz w:val="22"/>
        </w:rPr>
        <w:t>(b) Recheck the heart rate in 30 seconds</w:t>
      </w:r>
    </w:p>
    <w:p>
      <w:pPr>
        <w:spacing w:after="0" w:before="0"/>
      </w:pPr>
      <w:r>
        <w:rPr>
          <w:b w:val="0"/>
          <w:sz w:val="22"/>
        </w:rPr>
        <w:t>(c) Start chest compressions</w:t>
      </w:r>
    </w:p>
    <w:p>
      <w:pPr>
        <w:spacing w:after="0" w:before="0"/>
      </w:pPr>
      <w:r>
        <w:rPr>
          <w:b w:val="0"/>
          <w:sz w:val="22"/>
        </w:rPr>
        <w:t>(d) Administer IV epinephrine</w:t>
      </w:r>
    </w:p>
    <w:p>
      <w:pPr>
        <w:spacing w:after="0" w:before="40"/>
      </w:pPr>
      <w:r>
        <w:rPr>
          <w:b/>
          <w:sz w:val="22"/>
        </w:rPr>
        <w:t>Answer: a</w:t>
      </w:r>
    </w:p>
    <w:p>
      <w:pPr>
        <w:spacing w:after="0" w:before="0"/>
      </w:pPr>
      <w:r>
        <w:rPr>
          <w:b w:val="0"/>
          <w:sz w:val="21"/>
        </w:rPr>
        <w:t>Solution: For a heart rate below 100/min after initial steps, positive-pressure ventilation is started immediately; chest compressions begin only if HR stays &lt;60 despite PPV.</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technique should be used by the on-duty officer to prevent backflow of the iron injection as prescribed by the physician?</w:t>
      </w:r>
    </w:p>
    <w:p>
      <w:pPr>
        <w:spacing w:after="0" w:before="0"/>
      </w:pPr>
      <w:r>
        <w:rPr>
          <w:b w:val="0"/>
          <w:sz w:val="22"/>
        </w:rPr>
        <w:t>(a) Inject the injection in deltoid muscles</w:t>
      </w:r>
    </w:p>
    <w:p>
      <w:pPr>
        <w:spacing w:after="0" w:before="0"/>
      </w:pPr>
      <w:r>
        <w:rPr>
          <w:b w:val="0"/>
          <w:sz w:val="22"/>
        </w:rPr>
        <w:t>(b) Laterally pull the skin and pick the needle</w:t>
      </w:r>
    </w:p>
    <w:p>
      <w:pPr>
        <w:spacing w:after="0" w:before="0"/>
      </w:pPr>
      <w:r>
        <w:rPr>
          <w:b w:val="0"/>
          <w:sz w:val="22"/>
        </w:rPr>
        <w:t>(c) Using Z track technique</w:t>
      </w:r>
    </w:p>
    <w:p>
      <w:pPr>
        <w:spacing w:after="0" w:before="0"/>
      </w:pPr>
      <w:r>
        <w:rPr>
          <w:b w:val="0"/>
          <w:sz w:val="22"/>
        </w:rPr>
        <w:t>(d) Inject the injection in gluteal region</w:t>
      </w:r>
    </w:p>
    <w:p>
      <w:pPr>
        <w:spacing w:after="0" w:before="40"/>
      </w:pPr>
      <w:r>
        <w:rPr>
          <w:b/>
          <w:sz w:val="22"/>
        </w:rPr>
        <w:t>Answer: c</w:t>
      </w:r>
    </w:p>
    <w:p>
      <w:pPr>
        <w:spacing w:after="0" w:before="0"/>
      </w:pPr>
      <w:r>
        <w:rPr>
          <w:b w:val="0"/>
          <w:sz w:val="21"/>
        </w:rPr>
        <w:t>Solution: The technique that should be used by the on-duty officer to prevent backflow of the iron injection, as prescribed by the physician, is the Z-track technique, which is the correct answer (b). The Z-track technique involves displacing the skin laterally to create a zigzag path before inserting and administering the medication. This technique helps to seal the needle track and prevent medication from leaking or refluxing back along the injection site. It is commonly used for intramuscular injections of irritating or staining medications, such as iron injections, to minimize discomfort and prevent discoloration of the skin.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needle is most appropriate for a subcutaneous injection?</w:t>
      </w:r>
    </w:p>
    <w:p>
      <w:pPr>
        <w:spacing w:after="0" w:before="0"/>
      </w:pPr>
      <w:r>
        <w:rPr>
          <w:b w:val="0"/>
          <w:sz w:val="22"/>
        </w:rPr>
        <w:t>(a) 14-16 gauge, 2 inch</w:t>
      </w:r>
    </w:p>
    <w:p>
      <w:pPr>
        <w:spacing w:after="0" w:before="0"/>
      </w:pPr>
      <w:r>
        <w:rPr>
          <w:b w:val="0"/>
          <w:sz w:val="22"/>
        </w:rPr>
        <w:t>(b) 18-20 gauge, 1½ inch</w:t>
      </w:r>
    </w:p>
    <w:p>
      <w:pPr>
        <w:spacing w:after="0" w:before="0"/>
      </w:pPr>
      <w:r>
        <w:rPr>
          <w:b w:val="0"/>
          <w:sz w:val="22"/>
        </w:rPr>
        <w:t>(c) 22 gauge, 1½ inch</w:t>
      </w:r>
    </w:p>
    <w:p>
      <w:pPr>
        <w:spacing w:after="0" w:before="0"/>
      </w:pPr>
      <w:r>
        <w:rPr>
          <w:b w:val="0"/>
          <w:sz w:val="22"/>
        </w:rPr>
        <w:t>(d) 25-27 gauge, 5/8 inch</w:t>
      </w:r>
    </w:p>
    <w:p>
      <w:pPr>
        <w:spacing w:after="0" w:before="40"/>
      </w:pPr>
      <w:r>
        <w:rPr>
          <w:b/>
          <w:sz w:val="22"/>
        </w:rPr>
        <w:t>Answer: d</w:t>
      </w:r>
    </w:p>
    <w:p>
      <w:pPr>
        <w:spacing w:after="0" w:before="0"/>
      </w:pPr>
      <w:r>
        <w:rPr>
          <w:b w:val="0"/>
          <w:sz w:val="21"/>
        </w:rPr>
        <w:t>Solution: Subcutaneous injections use a short, fine needle (25-27 gauge, ⅝ inch) to deposit medication into the subcutaneous layer at a 45° angle.</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