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Incubation period is measured by which central tendency?</w:t>
      </w:r>
    </w:p>
    <w:p>
      <w:pPr>
        <w:spacing w:after="0" w:before="0"/>
      </w:pPr>
      <w:r>
        <w:rPr>
          <w:b w:val="0"/>
          <w:sz w:val="22"/>
        </w:rPr>
        <w:t>(a) Median</w:t>
      </w:r>
    </w:p>
    <w:p>
      <w:pPr>
        <w:spacing w:after="0" w:before="0"/>
      </w:pPr>
      <w:r>
        <w:rPr>
          <w:b w:val="0"/>
          <w:sz w:val="22"/>
        </w:rPr>
        <w:t>(b) Standard deviation</w:t>
      </w:r>
    </w:p>
    <w:p>
      <w:pPr>
        <w:spacing w:after="0" w:before="0"/>
      </w:pPr>
      <w:r>
        <w:rPr>
          <w:b w:val="0"/>
          <w:sz w:val="22"/>
        </w:rPr>
        <w:t>(c) Mode</w:t>
      </w:r>
    </w:p>
    <w:p>
      <w:pPr>
        <w:spacing w:after="0" w:before="0"/>
      </w:pPr>
      <w:r>
        <w:rPr>
          <w:b w:val="0"/>
          <w:sz w:val="22"/>
        </w:rPr>
        <w:t>(d) Mean</w:t>
      </w:r>
    </w:p>
    <w:p>
      <w:pPr>
        <w:spacing w:after="0" w:before="40"/>
      </w:pPr>
      <w:r>
        <w:rPr>
          <w:b/>
          <w:sz w:val="22"/>
        </w:rPr>
        <w:t>Answer: a</w:t>
      </w:r>
    </w:p>
    <w:p>
      <w:pPr>
        <w:spacing w:after="0" w:before="0"/>
      </w:pPr>
      <w:r>
        <w:rPr>
          <w:b w:val="0"/>
          <w:sz w:val="21"/>
        </w:rPr>
        <w:t>Solution: The incubation period, which refers to the time between exposure to a pathogen and the onset of symptoms, is typically measured using the median as a central tendency. The median represents the middle value in a set of data when arranged in ascending or descending order. In the context of the incubation period, the median provides a measure of the central tendency that indicates the typical or most common duration of time from exposure to symptom onset. It is important to note that the incubation central Tendency C mean , median moder standard deviation (statistics) period can vary depending on the specific infectious agent and individual factors.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primigravida mother can expect to feel first fetal movements (Quickening) between which weeks?</w:t>
      </w:r>
    </w:p>
    <w:p>
      <w:pPr>
        <w:spacing w:after="0" w:before="0"/>
      </w:pPr>
      <w:r>
        <w:rPr>
          <w:b w:val="0"/>
          <w:sz w:val="22"/>
        </w:rPr>
        <w:t>(a) 8 to 10 weeks</w:t>
      </w:r>
    </w:p>
    <w:p>
      <w:pPr>
        <w:spacing w:after="0" w:before="0"/>
      </w:pPr>
      <w:r>
        <w:rPr>
          <w:b w:val="0"/>
          <w:sz w:val="22"/>
        </w:rPr>
        <w:t>(b) 10 to 12 weeks</w:t>
      </w:r>
    </w:p>
    <w:p>
      <w:pPr>
        <w:spacing w:after="0" w:before="0"/>
      </w:pPr>
      <w:r>
        <w:rPr>
          <w:b w:val="0"/>
          <w:sz w:val="22"/>
        </w:rPr>
        <w:t>(c) 18 to 20 weeks (or 16-20 weeks)</w:t>
      </w:r>
    </w:p>
    <w:p>
      <w:pPr>
        <w:spacing w:after="0" w:before="0"/>
      </w:pPr>
      <w:r>
        <w:rPr>
          <w:b w:val="0"/>
          <w:sz w:val="22"/>
        </w:rPr>
        <w:t>(d) 6 to 8 weeks</w:t>
      </w:r>
    </w:p>
    <w:p>
      <w:pPr>
        <w:spacing w:after="0" w:before="40"/>
      </w:pPr>
      <w:r>
        <w:rPr>
          <w:b/>
          <w:sz w:val="22"/>
        </w:rPr>
        <w:t>Answer: c</w:t>
      </w:r>
    </w:p>
    <w:p>
      <w:pPr>
        <w:spacing w:after="0" w:before="0"/>
      </w:pPr>
      <w:r>
        <w:rPr>
          <w:b w:val="0"/>
          <w:sz w:val="21"/>
        </w:rPr>
        <w:t>Solution: Quickening (first perception of fetal movement) is typically felt between 18–20 weeks in primigravidas and 16–18 weeks in multigravidas.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Who discovered the nasal COVID vaccine?</w:t>
      </w:r>
    </w:p>
    <w:p>
      <w:pPr>
        <w:spacing w:after="0" w:before="0"/>
      </w:pPr>
      <w:r>
        <w:rPr>
          <w:b w:val="0"/>
          <w:sz w:val="22"/>
        </w:rPr>
        <w:t>(a) AstraZeneca</w:t>
      </w:r>
    </w:p>
    <w:p>
      <w:pPr>
        <w:spacing w:after="0" w:before="0"/>
      </w:pPr>
      <w:r>
        <w:rPr>
          <w:b w:val="0"/>
          <w:sz w:val="22"/>
        </w:rPr>
        <w:t>(b) Bharat biotech</w:t>
      </w:r>
    </w:p>
    <w:p>
      <w:pPr>
        <w:spacing w:after="0" w:before="0"/>
      </w:pPr>
      <w:r>
        <w:rPr>
          <w:b w:val="0"/>
          <w:sz w:val="22"/>
        </w:rPr>
        <w:t>(c) Serum institute of India</w:t>
      </w:r>
    </w:p>
    <w:p>
      <w:pPr>
        <w:spacing w:after="0" w:before="0"/>
      </w:pPr>
      <w:r>
        <w:rPr>
          <w:b w:val="0"/>
          <w:sz w:val="22"/>
        </w:rPr>
        <w:t>(d) National Institute of Virology</w:t>
      </w:r>
    </w:p>
    <w:p>
      <w:pPr>
        <w:spacing w:after="0" w:before="40"/>
      </w:pPr>
      <w:r>
        <w:rPr>
          <w:b/>
          <w:sz w:val="22"/>
        </w:rPr>
        <w:t>Answer: b</w:t>
      </w:r>
    </w:p>
    <w:p>
      <w:pPr>
        <w:spacing w:after="0" w:before="0"/>
      </w:pPr>
      <w:r>
        <w:rPr>
          <w:b w:val="0"/>
          <w:sz w:val="21"/>
        </w:rPr>
        <w:t>Solution: The nasal COVID vaccine was discovered by Bharat Biotech. Bharat Biotech, an Indian biotechnology company, developed and manufactured a nasal vaccine for COVID-19. The vaccine, named Covaxin, is administered through the intranasal route, utilizing the nasal mucosa to stimulate an immune response against the SARS-CoV-2 virus. Covaxin has undergone clinical trials and received regulatory approvals for emergency use. The development of nasal vaccines offers an alternative and potentially more covid convenient method of immunization, particularly for individuals who may have difficulty with traditional intramuscular injections.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earliest symptom of Hyponatremia is:</w:t>
      </w:r>
    </w:p>
    <w:p>
      <w:pPr>
        <w:spacing w:after="0" w:before="0"/>
      </w:pPr>
      <w:r>
        <w:rPr>
          <w:b w:val="0"/>
          <w:sz w:val="22"/>
        </w:rPr>
        <w:t>(a) Fatigue</w:t>
      </w:r>
    </w:p>
    <w:p>
      <w:pPr>
        <w:spacing w:after="0" w:before="0"/>
      </w:pPr>
      <w:r>
        <w:rPr>
          <w:b w:val="0"/>
          <w:sz w:val="22"/>
        </w:rPr>
        <w:t>(b) Thirst</w:t>
      </w:r>
    </w:p>
    <w:p>
      <w:pPr>
        <w:spacing w:after="0" w:before="0"/>
      </w:pPr>
      <w:r>
        <w:rPr>
          <w:b w:val="0"/>
          <w:sz w:val="22"/>
        </w:rPr>
        <w:t>(c) Weakness</w:t>
      </w:r>
    </w:p>
    <w:p>
      <w:pPr>
        <w:spacing w:after="0" w:before="0"/>
      </w:pPr>
      <w:r>
        <w:rPr>
          <w:b w:val="0"/>
          <w:sz w:val="22"/>
        </w:rPr>
        <w:t>(d) Ataxia</w:t>
      </w:r>
    </w:p>
    <w:p>
      <w:pPr>
        <w:spacing w:after="0" w:before="40"/>
      </w:pPr>
      <w:r>
        <w:rPr>
          <w:b/>
          <w:sz w:val="22"/>
        </w:rPr>
        <w:t>Answer: a</w:t>
      </w:r>
    </w:p>
    <w:p>
      <w:pPr>
        <w:spacing w:after="0" w:before="0"/>
      </w:pPr>
      <w:r>
        <w:rPr>
          <w:b w:val="0"/>
          <w:sz w:val="21"/>
        </w:rPr>
        <w:t>Solution: Fatigue is the earliest symptom of hyponatremia (mild sodium depletion).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patient in the post-op area after having a right side mastectomy. What should be the priority care for this patient?</w:t>
      </w:r>
    </w:p>
    <w:p>
      <w:pPr>
        <w:spacing w:after="0" w:before="0"/>
      </w:pPr>
      <w:r>
        <w:rPr>
          <w:b w:val="0"/>
          <w:sz w:val="22"/>
        </w:rPr>
        <w:t>(a) Take BP from right side</w:t>
      </w:r>
    </w:p>
    <w:p>
      <w:pPr>
        <w:spacing w:after="0" w:before="0"/>
      </w:pPr>
      <w:r>
        <w:rPr>
          <w:b w:val="0"/>
          <w:sz w:val="22"/>
        </w:rPr>
        <w:t>(b) Attach pulse oximetry on left side</w:t>
      </w:r>
    </w:p>
    <w:p>
      <w:pPr>
        <w:spacing w:after="0" w:before="0"/>
      </w:pPr>
      <w:r>
        <w:rPr>
          <w:b w:val="0"/>
          <w:sz w:val="22"/>
        </w:rPr>
        <w:t>(c) Take BP from left side</w:t>
      </w:r>
    </w:p>
    <w:p>
      <w:pPr>
        <w:spacing w:after="0" w:before="0"/>
      </w:pPr>
      <w:r>
        <w:rPr>
          <w:b w:val="0"/>
          <w:sz w:val="22"/>
        </w:rPr>
        <w:t>(d) Attach pulse oximetry on right side</w:t>
      </w:r>
    </w:p>
    <w:p>
      <w:pPr>
        <w:spacing w:after="0" w:before="40"/>
      </w:pPr>
      <w:r>
        <w:rPr>
          <w:b/>
          <w:sz w:val="22"/>
        </w:rPr>
        <w:t>Answer: c</w:t>
      </w:r>
    </w:p>
    <w:p>
      <w:pPr>
        <w:spacing w:after="0" w:before="0"/>
      </w:pPr>
      <w:r>
        <w:rPr>
          <w:b w:val="0"/>
          <w:sz w:val="21"/>
        </w:rPr>
        <w:t>Solution: After right-sided mastectomy, BP is taken from the left side (right arm is at risk of lymphoedema).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Widal test is done in the diagnosis of:</w:t>
      </w:r>
    </w:p>
    <w:p>
      <w:pPr>
        <w:spacing w:after="0" w:before="0"/>
      </w:pPr>
      <w:r>
        <w:rPr>
          <w:b w:val="0"/>
          <w:sz w:val="22"/>
        </w:rPr>
        <w:t>(a) Rheumatic fever</w:t>
      </w:r>
    </w:p>
    <w:p>
      <w:pPr>
        <w:spacing w:after="0" w:before="0"/>
      </w:pPr>
      <w:r>
        <w:rPr>
          <w:b w:val="0"/>
          <w:sz w:val="22"/>
        </w:rPr>
        <w:t>(b) Hay fever</w:t>
      </w:r>
    </w:p>
    <w:p>
      <w:pPr>
        <w:spacing w:after="0" w:before="0"/>
      </w:pPr>
      <w:r>
        <w:rPr>
          <w:b w:val="0"/>
          <w:sz w:val="22"/>
        </w:rPr>
        <w:t>(c) Enteric fever</w:t>
      </w:r>
    </w:p>
    <w:p>
      <w:pPr>
        <w:spacing w:after="0" w:before="0"/>
      </w:pPr>
      <w:r>
        <w:rPr>
          <w:b w:val="0"/>
          <w:sz w:val="22"/>
        </w:rPr>
        <w:t>(d) Dengue fever</w:t>
      </w:r>
    </w:p>
    <w:p>
      <w:pPr>
        <w:spacing w:after="0" w:before="40"/>
      </w:pPr>
      <w:r>
        <w:rPr>
          <w:b/>
          <w:sz w:val="22"/>
        </w:rPr>
        <w:t>Answer: c</w:t>
      </w:r>
    </w:p>
    <w:p>
      <w:pPr>
        <w:spacing w:after="0" w:before="0"/>
      </w:pPr>
      <w:r>
        <w:rPr>
          <w:b w:val="0"/>
          <w:sz w:val="21"/>
        </w:rPr>
        <w:t>Solution: The Widal test is used in the diagnosis of enteric (typhoid) fever caused by Salmonella typhi.</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child is on chemotherapy. The nurse should teacher the mother about the following; except:</w:t>
      </w:r>
    </w:p>
    <w:p>
      <w:pPr>
        <w:spacing w:after="0" w:before="0"/>
      </w:pPr>
      <w:r>
        <w:rPr>
          <w:b w:val="0"/>
          <w:sz w:val="22"/>
        </w:rPr>
        <w:t>(a) Avoid crowded place</w:t>
      </w:r>
    </w:p>
    <w:p>
      <w:pPr>
        <w:spacing w:after="0" w:before="0"/>
      </w:pPr>
      <w:r>
        <w:rPr>
          <w:b w:val="0"/>
          <w:sz w:val="22"/>
        </w:rPr>
        <w:t>(b) Hand washing</w:t>
      </w:r>
    </w:p>
    <w:p>
      <w:pPr>
        <w:spacing w:after="0" w:before="0"/>
      </w:pPr>
      <w:r>
        <w:rPr>
          <w:b w:val="0"/>
          <w:sz w:val="22"/>
        </w:rPr>
        <w:t>(c) Sitz bath</w:t>
      </w:r>
    </w:p>
    <w:p>
      <w:pPr>
        <w:spacing w:after="0" w:before="0"/>
      </w:pPr>
      <w:r>
        <w:rPr>
          <w:b w:val="0"/>
          <w:sz w:val="22"/>
        </w:rPr>
        <w:t>(d) Brush two times</w:t>
      </w:r>
    </w:p>
    <w:p>
      <w:pPr>
        <w:spacing w:after="0" w:before="40"/>
      </w:pPr>
      <w:r>
        <w:rPr>
          <w:b/>
          <w:sz w:val="22"/>
        </w:rPr>
        <w:t>Answer: c</w:t>
      </w:r>
    </w:p>
    <w:p>
      <w:pPr>
        <w:spacing w:after="0" w:before="0"/>
      </w:pPr>
      <w:r>
        <w:rPr>
          <w:b w:val="0"/>
          <w:sz w:val="21"/>
        </w:rPr>
        <w:t>Solution: The mother is taught hand washing, avoiding crowded places and oral care; a sitz bath is not relevant to chemotherapy care.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disease is not included in national vector bornedisease control program?</w:t>
      </w:r>
    </w:p>
    <w:p>
      <w:pPr>
        <w:spacing w:after="0" w:before="0"/>
      </w:pPr>
      <w:r>
        <w:rPr>
          <w:b w:val="0"/>
          <w:sz w:val="22"/>
        </w:rPr>
        <w:t>(a) Malaria</w:t>
      </w:r>
    </w:p>
    <w:p>
      <w:pPr>
        <w:spacing w:after="0" w:before="0"/>
      </w:pPr>
      <w:r>
        <w:rPr>
          <w:b w:val="0"/>
          <w:sz w:val="22"/>
        </w:rPr>
        <w:t>(b) Dengue</w:t>
      </w:r>
    </w:p>
    <w:p>
      <w:pPr>
        <w:spacing w:after="0" w:before="0"/>
      </w:pPr>
      <w:r>
        <w:rPr>
          <w:b w:val="0"/>
          <w:sz w:val="22"/>
        </w:rPr>
        <w:t>(c) Chikungunya</w:t>
      </w:r>
    </w:p>
    <w:p>
      <w:pPr>
        <w:spacing w:after="0" w:before="0"/>
      </w:pPr>
      <w:r>
        <w:rPr>
          <w:b w:val="0"/>
          <w:sz w:val="22"/>
        </w:rPr>
        <w:t>(d) Plague</w:t>
      </w:r>
    </w:p>
    <w:p>
      <w:pPr>
        <w:spacing w:after="0" w:before="40"/>
      </w:pPr>
      <w:r>
        <w:rPr>
          <w:b/>
          <w:sz w:val="22"/>
        </w:rPr>
        <w:t>Answer: d</w:t>
      </w:r>
    </w:p>
    <w:p>
      <w:pPr>
        <w:spacing w:after="0" w:before="0"/>
      </w:pPr>
      <w:r>
        <w:rPr>
          <w:b w:val="0"/>
          <w:sz w:val="21"/>
        </w:rPr>
        <w:t>Solution: Plague is not included in the national vector-borne disease control program (option A). The national vector-borne disease control programs typically focus on diseases that are transmitted to humans through vectors such as mosquitoes, ticks, and flies. These programs aim to prevent, control, and manage diseases such as malaria, dengue fever, chikungunya, and other mosquito-borne diseases. Plague, on the other hand, is primarily transmitted through fleas that infest rodents, and it is not commonly included in the scope of national vector-borne disease control programs. Plague control strategies usually involve specific interventions targeted at rodent and flea control to prevent outbreaks and minimize the risk of transmission to humans.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burn patient with 30% TBSA burns in the first 24 hours should be monitored most closely for:</w:t>
      </w:r>
    </w:p>
    <w:p>
      <w:pPr>
        <w:spacing w:after="0" w:before="0"/>
      </w:pPr>
      <w:r>
        <w:rPr>
          <w:b w:val="0"/>
          <w:sz w:val="22"/>
        </w:rPr>
        <w:t>(a) Hyperkalemia only</w:t>
      </w:r>
    </w:p>
    <w:p>
      <w:pPr>
        <w:spacing w:after="0" w:before="0"/>
      </w:pPr>
      <w:r>
        <w:rPr>
          <w:b w:val="0"/>
          <w:sz w:val="22"/>
        </w:rPr>
        <w:t>(b) Hypovolaemic shock</w:t>
      </w:r>
    </w:p>
    <w:p>
      <w:pPr>
        <w:spacing w:after="0" w:before="0"/>
      </w:pPr>
      <w:r>
        <w:rPr>
          <w:b w:val="0"/>
          <w:sz w:val="22"/>
        </w:rPr>
        <w:t>(c) Hyperglycemia</w:t>
      </w:r>
    </w:p>
    <w:p>
      <w:pPr>
        <w:spacing w:after="0" w:before="0"/>
      </w:pPr>
      <w:r>
        <w:rPr>
          <w:b w:val="0"/>
          <w:sz w:val="22"/>
        </w:rPr>
        <w:t>(d) Constipation</w:t>
      </w:r>
    </w:p>
    <w:p>
      <w:pPr>
        <w:spacing w:after="0" w:before="40"/>
      </w:pPr>
      <w:r>
        <w:rPr>
          <w:b/>
          <w:sz w:val="22"/>
        </w:rPr>
        <w:t>Answer: b</w:t>
      </w:r>
    </w:p>
    <w:p>
      <w:pPr>
        <w:spacing w:after="0" w:before="0"/>
      </w:pPr>
      <w:r>
        <w:rPr>
          <w:b w:val="0"/>
          <w:sz w:val="21"/>
        </w:rPr>
        <w:t>Solution: Fluid shift from the intravascular compartment causes hypovolaemic shock in the first 24-48 hours after burns.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is the disactivated whole virion vaccine</w:t>
      </w:r>
    </w:p>
    <w:p>
      <w:pPr>
        <w:spacing w:after="0" w:before="0"/>
      </w:pPr>
      <w:r>
        <w:rPr>
          <w:b w:val="0"/>
          <w:sz w:val="22"/>
        </w:rPr>
        <w:t>(a) Covaxin</w:t>
      </w:r>
    </w:p>
    <w:p>
      <w:pPr>
        <w:spacing w:after="0" w:before="0"/>
      </w:pPr>
      <w:r>
        <w:rPr>
          <w:b w:val="0"/>
          <w:sz w:val="22"/>
        </w:rPr>
        <w:t>(b) Covishield</w:t>
      </w:r>
    </w:p>
    <w:p>
      <w:pPr>
        <w:spacing w:after="0" w:before="0"/>
      </w:pPr>
      <w:r>
        <w:rPr>
          <w:b w:val="0"/>
          <w:sz w:val="22"/>
        </w:rPr>
        <w:t>(c) Moderna</w:t>
      </w:r>
    </w:p>
    <w:p>
      <w:pPr>
        <w:spacing w:after="0" w:before="0"/>
      </w:pPr>
      <w:r>
        <w:rPr>
          <w:b w:val="0"/>
          <w:sz w:val="22"/>
        </w:rPr>
        <w:t>(d) Sputnik</w:t>
      </w:r>
    </w:p>
    <w:p>
      <w:pPr>
        <w:spacing w:after="0" w:before="40"/>
      </w:pPr>
      <w:r>
        <w:rPr>
          <w:b/>
          <w:sz w:val="22"/>
        </w:rPr>
        <w:t>Answer: a</w:t>
      </w:r>
    </w:p>
    <w:p>
      <w:pPr>
        <w:spacing w:after="0" w:before="0"/>
      </w:pPr>
      <w:r>
        <w:rPr>
          <w:b w:val="0"/>
          <w:sz w:val="21"/>
        </w:rPr>
        <w:t>Solution: Covaxin (BBV152) is a whole-virion inactivated vaccine; Covishield and Sputnik are vector vaccines, Moderna is mRNA.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recommended temperature range for storing DPT vaccine?</w:t>
      </w:r>
    </w:p>
    <w:p>
      <w:pPr>
        <w:spacing w:after="0" w:before="0"/>
      </w:pPr>
      <w:r>
        <w:rPr>
          <w:b w:val="0"/>
          <w:sz w:val="22"/>
        </w:rPr>
        <w:t>(a) 2°C to 8°C</w:t>
      </w:r>
    </w:p>
    <w:p>
      <w:pPr>
        <w:spacing w:after="0" w:before="0"/>
      </w:pPr>
      <w:r>
        <w:rPr>
          <w:b w:val="0"/>
          <w:sz w:val="22"/>
        </w:rPr>
        <w:t>(b) 16°C to 22°C</w:t>
      </w:r>
    </w:p>
    <w:p>
      <w:pPr>
        <w:spacing w:after="0" w:before="0"/>
      </w:pPr>
      <w:r>
        <w:rPr>
          <w:b w:val="0"/>
          <w:sz w:val="22"/>
        </w:rPr>
        <w:t>(c) 0°C to 2°C</w:t>
      </w:r>
    </w:p>
    <w:p>
      <w:pPr>
        <w:spacing w:after="0" w:before="0"/>
      </w:pPr>
      <w:r>
        <w:rPr>
          <w:b w:val="0"/>
          <w:sz w:val="22"/>
        </w:rPr>
        <w:t>(d) At room temperature</w:t>
      </w:r>
    </w:p>
    <w:p>
      <w:pPr>
        <w:spacing w:after="0" w:before="40"/>
      </w:pPr>
      <w:r>
        <w:rPr>
          <w:b/>
          <w:sz w:val="22"/>
        </w:rPr>
        <w:t>Answer: a</w:t>
      </w:r>
    </w:p>
    <w:p>
      <w:pPr>
        <w:spacing w:after="0" w:before="0"/>
      </w:pPr>
      <w:r>
        <w:rPr>
          <w:b w:val="0"/>
          <w:sz w:val="21"/>
        </w:rPr>
        <w:t>Solution: The recommended temperature range for storing DPT vaccine is 2°C to 8°C. This temperature range is necessary to ensure that the vaccine remains stable and effective. Vaccines that are exposed to temperatures outside of the recommended range can lose their potency and may not be effective in preventing diseases. Therefore, it is important to store vaccines, including DPT vaccine, in a temperature-controlled environment, such as a refrigerator.</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vaccine is kept in freezer compartment in refrigerator?</w:t>
      </w:r>
    </w:p>
    <w:p>
      <w:pPr>
        <w:spacing w:after="0" w:before="0"/>
      </w:pPr>
      <w:r>
        <w:rPr>
          <w:b w:val="0"/>
          <w:sz w:val="22"/>
        </w:rPr>
        <w:t>(a) Hepatitis B</w:t>
      </w:r>
    </w:p>
    <w:p>
      <w:pPr>
        <w:spacing w:after="0" w:before="0"/>
      </w:pPr>
      <w:r>
        <w:rPr>
          <w:b w:val="0"/>
          <w:sz w:val="22"/>
        </w:rPr>
        <w:t>(b) DPT</w:t>
      </w:r>
    </w:p>
    <w:p>
      <w:pPr>
        <w:spacing w:after="0" w:before="0"/>
      </w:pPr>
      <w:r>
        <w:rPr>
          <w:b w:val="0"/>
          <w:sz w:val="22"/>
        </w:rPr>
        <w:t>(c) Measles</w:t>
      </w:r>
    </w:p>
    <w:p>
      <w:pPr>
        <w:spacing w:after="0" w:before="0"/>
      </w:pPr>
      <w:r>
        <w:rPr>
          <w:b w:val="0"/>
          <w:sz w:val="22"/>
        </w:rPr>
        <w:t>(d) T.T</w:t>
      </w:r>
    </w:p>
    <w:p>
      <w:pPr>
        <w:spacing w:after="0" w:before="40"/>
      </w:pPr>
      <w:r>
        <w:rPr>
          <w:b/>
          <w:sz w:val="22"/>
        </w:rPr>
        <w:t>Answer: d</w:t>
      </w:r>
    </w:p>
    <w:p>
      <w:pPr>
        <w:spacing w:after="0" w:before="0"/>
      </w:pPr>
      <w:r>
        <w:rPr>
          <w:b w:val="0"/>
          <w:sz w:val="21"/>
        </w:rPr>
        <w:t>Solution: The vaccine that is kept in the freezer compartment of a refrigerator is the Measles vaccine. Measles vaccine, like many other live vaccines, needs to be stored at low temperatures to maintain its efficacy. The recommended storage temperature for the measles vaccine is between -50°C and -15°C. This temperature range ensures that the vaccine remains stable and retains its potency. The freezer compartment of a refrigerator provides the necessary cold storage for vaccines that require ultra-low temperatures. Important instruments in OBE vaccine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 COPD patient given O2 by venturi mask then nursing priority action ?</w:t>
      </w:r>
    </w:p>
    <w:p>
      <w:pPr>
        <w:spacing w:after="0" w:before="0"/>
      </w:pPr>
      <w:r>
        <w:rPr>
          <w:b w:val="0"/>
          <w:sz w:val="22"/>
        </w:rPr>
        <w:t>(a) Provide hot liquid</w:t>
      </w:r>
    </w:p>
    <w:p>
      <w:pPr>
        <w:spacing w:after="0" w:before="0"/>
      </w:pPr>
      <w:r>
        <w:rPr>
          <w:b w:val="0"/>
          <w:sz w:val="22"/>
        </w:rPr>
        <w:t>(b) Cheque altertness</w:t>
      </w:r>
    </w:p>
    <w:p>
      <w:pPr>
        <w:spacing w:after="0" w:before="0"/>
      </w:pPr>
      <w:r>
        <w:rPr>
          <w:b w:val="0"/>
          <w:sz w:val="22"/>
        </w:rPr>
        <w:t>(c) Assess the dryness of nose</w:t>
      </w:r>
    </w:p>
    <w:p>
      <w:pPr>
        <w:spacing w:after="0" w:before="0"/>
      </w:pPr>
      <w:r>
        <w:rPr>
          <w:b w:val="0"/>
          <w:sz w:val="22"/>
        </w:rPr>
        <w:t>(d) Provide supine position</w:t>
      </w:r>
    </w:p>
    <w:p>
      <w:pPr>
        <w:spacing w:after="0" w:before="40"/>
      </w:pPr>
      <w:r>
        <w:rPr>
          <w:b/>
          <w:sz w:val="22"/>
        </w:rPr>
        <w:t>Answer: c</w:t>
      </w:r>
    </w:p>
    <w:p>
      <w:pPr>
        <w:spacing w:after="0" w:before="0"/>
      </w:pPr>
      <w:r>
        <w:rPr>
          <w:b w:val="0"/>
          <w:sz w:val="21"/>
        </w:rPr>
        <w:t>Solution: In a COPD patient on a venturi mask, the nurse assesses dryness of the nasal mucosa as oxygen therapy can dry the airway; humidification is maintained.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Cidex is the trade name for which high-level disinfectant solution?</w:t>
      </w:r>
    </w:p>
    <w:p>
      <w:pPr>
        <w:spacing w:after="0" w:before="0"/>
      </w:pPr>
      <w:r>
        <w:rPr>
          <w:b w:val="0"/>
          <w:sz w:val="22"/>
        </w:rPr>
        <w:t>(a) 2% Glutaraldehyde</w:t>
      </w:r>
    </w:p>
    <w:p>
      <w:pPr>
        <w:spacing w:after="0" w:before="0"/>
      </w:pPr>
      <w:r>
        <w:rPr>
          <w:b w:val="0"/>
          <w:sz w:val="22"/>
        </w:rPr>
        <w:t>(b) Formaldehyde</w:t>
      </w:r>
    </w:p>
    <w:p>
      <w:pPr>
        <w:spacing w:after="0" w:before="0"/>
      </w:pPr>
      <w:r>
        <w:rPr>
          <w:b w:val="0"/>
          <w:sz w:val="22"/>
        </w:rPr>
        <w:t>(c) Isopropyl alcohol</w:t>
      </w:r>
    </w:p>
    <w:p>
      <w:pPr>
        <w:spacing w:after="0" w:before="0"/>
      </w:pPr>
      <w:r>
        <w:rPr>
          <w:b w:val="0"/>
          <w:sz w:val="22"/>
        </w:rPr>
        <w:t>(d) Ammonium chloride</w:t>
      </w:r>
    </w:p>
    <w:p>
      <w:pPr>
        <w:spacing w:after="0" w:before="40"/>
      </w:pPr>
      <w:r>
        <w:rPr>
          <w:b/>
          <w:sz w:val="22"/>
        </w:rPr>
        <w:t>Answer: a</w:t>
      </w:r>
    </w:p>
    <w:p>
      <w:pPr>
        <w:spacing w:after="0" w:before="0"/>
      </w:pPr>
      <w:r>
        <w:rPr>
          <w:b w:val="0"/>
          <w:sz w:val="21"/>
        </w:rPr>
        <w:t>Solution: Cidex contains 2% Glutaraldehyde, widely used for high-level cold disinfection of endoscopes, laparoscopes, and heat-sensitive instruments.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earliest and most sensitive indicator of increased intracranial pressure (ICP) is:</w:t>
      </w:r>
    </w:p>
    <w:p>
      <w:pPr>
        <w:spacing w:after="0" w:before="0"/>
      </w:pPr>
      <w:r>
        <w:rPr>
          <w:b w:val="0"/>
          <w:sz w:val="22"/>
        </w:rPr>
        <w:t>(a) Vomiting</w:t>
      </w:r>
    </w:p>
    <w:p>
      <w:pPr>
        <w:spacing w:after="0" w:before="0"/>
      </w:pPr>
      <w:r>
        <w:rPr>
          <w:b w:val="0"/>
          <w:sz w:val="22"/>
        </w:rPr>
        <w:t>(b) Altered level of consciousness</w:t>
      </w:r>
    </w:p>
    <w:p>
      <w:pPr>
        <w:spacing w:after="0" w:before="0"/>
      </w:pPr>
      <w:r>
        <w:rPr>
          <w:b w:val="0"/>
          <w:sz w:val="22"/>
        </w:rPr>
        <w:t>(c) Papilloedema</w:t>
      </w:r>
    </w:p>
    <w:p>
      <w:pPr>
        <w:spacing w:after="0" w:before="0"/>
      </w:pPr>
      <w:r>
        <w:rPr>
          <w:b w:val="0"/>
          <w:sz w:val="22"/>
        </w:rPr>
        <w:t>(d) Bradycardia</w:t>
      </w:r>
    </w:p>
    <w:p>
      <w:pPr>
        <w:spacing w:after="0" w:before="40"/>
      </w:pPr>
      <w:r>
        <w:rPr>
          <w:b/>
          <w:sz w:val="22"/>
        </w:rPr>
        <w:t>Answer: b</w:t>
      </w:r>
    </w:p>
    <w:p>
      <w:pPr>
        <w:spacing w:after="0" w:before="0"/>
      </w:pPr>
      <w:r>
        <w:rPr>
          <w:b w:val="0"/>
          <w:sz w:val="21"/>
        </w:rPr>
        <w:t>Solution: A change in the level of consciousness is the earliest sign of rising intracranial pressure.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disinfectant solution is recommended for cleaning COVID-19 patient linen?</w:t>
      </w:r>
    </w:p>
    <w:p>
      <w:pPr>
        <w:spacing w:after="0" w:before="0"/>
      </w:pPr>
      <w:r>
        <w:rPr>
          <w:b w:val="0"/>
          <w:sz w:val="22"/>
        </w:rPr>
        <w:t>(a) Betadine</w:t>
      </w:r>
    </w:p>
    <w:p>
      <w:pPr>
        <w:spacing w:after="0" w:before="0"/>
      </w:pPr>
      <w:r>
        <w:rPr>
          <w:b w:val="0"/>
          <w:sz w:val="22"/>
        </w:rPr>
        <w:t>(b) 1% Sodium hypochlorite solution</w:t>
      </w:r>
    </w:p>
    <w:p>
      <w:pPr>
        <w:spacing w:after="0" w:before="0"/>
      </w:pPr>
      <w:r>
        <w:rPr>
          <w:b w:val="0"/>
          <w:sz w:val="22"/>
        </w:rPr>
        <w:t>(c) Savlon</w:t>
      </w:r>
    </w:p>
    <w:p>
      <w:pPr>
        <w:spacing w:after="0" w:before="0"/>
      </w:pPr>
      <w:r>
        <w:rPr>
          <w:b w:val="0"/>
          <w:sz w:val="22"/>
        </w:rPr>
        <w:t>(d) Alcohol</w:t>
      </w:r>
    </w:p>
    <w:p>
      <w:pPr>
        <w:spacing w:after="0" w:before="40"/>
      </w:pPr>
      <w:r>
        <w:rPr>
          <w:b/>
          <w:sz w:val="22"/>
        </w:rPr>
        <w:t>Answer: b</w:t>
      </w:r>
    </w:p>
    <w:p>
      <w:pPr>
        <w:spacing w:after="0" w:before="0"/>
      </w:pPr>
      <w:r>
        <w:rPr>
          <w:b w:val="0"/>
          <w:sz w:val="21"/>
        </w:rPr>
        <w:t>Solution: According to the Centers for Disease Control and Prevention (CDC), the recommended disinfectant solution for cleaning COVID-19 patient linen is a 1% sodium hypochlorite solution. Sodium hypochlorite, commonly known as bleach, has been proven to be effective against the virus. It is important to follow the manufacturer's instructions for dilution and contact time to ensure proper disinfection. Additionally, personal protective equipment (PPE) should be worn when handling contaminated linen to reduce the risk of transmission.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on fall precautions insists on getting out of bed to use the bathroom. What is the priority nursing action?</w:t>
      </w:r>
    </w:p>
    <w:p>
      <w:pPr>
        <w:spacing w:after="0" w:before="0"/>
      </w:pPr>
      <w:r>
        <w:rPr>
          <w:b w:val="0"/>
          <w:sz w:val="22"/>
        </w:rPr>
        <w:t>(a) Apply a vest restraint</w:t>
      </w:r>
    </w:p>
    <w:p>
      <w:pPr>
        <w:spacing w:after="0" w:before="0"/>
      </w:pPr>
      <w:r>
        <w:rPr>
          <w:b w:val="0"/>
          <w:sz w:val="22"/>
        </w:rPr>
        <w:t>(b) Tell the client to use the call bell when ready</w:t>
      </w:r>
    </w:p>
    <w:p>
      <w:pPr>
        <w:spacing w:after="0" w:before="0"/>
      </w:pPr>
      <w:r>
        <w:rPr>
          <w:b w:val="0"/>
          <w:sz w:val="22"/>
        </w:rPr>
        <w:t>(c) Assist the client to the bathroom immediately</w:t>
      </w:r>
    </w:p>
    <w:p>
      <w:pPr>
        <w:spacing w:after="0" w:before="0"/>
      </w:pPr>
      <w:r>
        <w:rPr>
          <w:b w:val="0"/>
          <w:sz w:val="22"/>
        </w:rPr>
        <w:t>(d) Place the bed in the lowest position and leave</w:t>
      </w:r>
    </w:p>
    <w:p>
      <w:pPr>
        <w:spacing w:after="0" w:before="40"/>
      </w:pPr>
      <w:r>
        <w:rPr>
          <w:b/>
          <w:sz w:val="22"/>
        </w:rPr>
        <w:t>Answer: c</w:t>
      </w:r>
    </w:p>
    <w:p>
      <w:pPr>
        <w:spacing w:after="0" w:before="0"/>
      </w:pPr>
      <w:r>
        <w:rPr>
          <w:b w:val="0"/>
          <w:sz w:val="21"/>
        </w:rPr>
        <w:t>Solution: The priority is to respond to the client's need safely; assisting the client to the bathroom prevents the high-risk unsupervised transfer that causes most falls.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nurse should position a patient after lumbar puncture in:</w:t>
      </w:r>
    </w:p>
    <w:p>
      <w:pPr>
        <w:spacing w:after="0" w:before="0"/>
      </w:pPr>
      <w:r>
        <w:rPr>
          <w:b w:val="0"/>
          <w:sz w:val="22"/>
        </w:rPr>
        <w:t>(a) Trendelenburg</w:t>
      </w:r>
    </w:p>
    <w:p>
      <w:pPr>
        <w:spacing w:after="0" w:before="0"/>
      </w:pPr>
      <w:r>
        <w:rPr>
          <w:b w:val="0"/>
          <w:sz w:val="22"/>
        </w:rPr>
        <w:t>(b) Sitting upright</w:t>
      </w:r>
    </w:p>
    <w:p>
      <w:pPr>
        <w:spacing w:after="0" w:before="0"/>
      </w:pPr>
      <w:r>
        <w:rPr>
          <w:b w:val="0"/>
          <w:sz w:val="22"/>
        </w:rPr>
        <w:t>(c) Flat (supine) for a few hours</w:t>
      </w:r>
    </w:p>
    <w:p>
      <w:pPr>
        <w:spacing w:after="0" w:before="0"/>
      </w:pPr>
      <w:r>
        <w:rPr>
          <w:b w:val="0"/>
          <w:sz w:val="22"/>
        </w:rPr>
        <w:t>(d) Prone</w:t>
      </w:r>
    </w:p>
    <w:p>
      <w:pPr>
        <w:spacing w:after="0" w:before="40"/>
      </w:pPr>
      <w:r>
        <w:rPr>
          <w:b/>
          <w:sz w:val="22"/>
        </w:rPr>
        <w:t>Answer: c</w:t>
      </w:r>
    </w:p>
    <w:p>
      <w:pPr>
        <w:spacing w:after="0" w:before="0"/>
      </w:pPr>
      <w:r>
        <w:rPr>
          <w:b w:val="0"/>
          <w:sz w:val="21"/>
        </w:rPr>
        <w:t>Solution: The patient lies flat for a few hours after lumbar puncture to prevent post-dural puncture headache.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develops anaphylaxis after a bee sting. What is the nurse's priority intervention?</w:t>
      </w:r>
    </w:p>
    <w:p>
      <w:pPr>
        <w:spacing w:after="0" w:before="0"/>
      </w:pPr>
      <w:r>
        <w:rPr>
          <w:b w:val="0"/>
          <w:sz w:val="22"/>
        </w:rPr>
        <w:t>(a) Administer epinephrine IM immediately</w:t>
      </w:r>
    </w:p>
    <w:p>
      <w:pPr>
        <w:spacing w:after="0" w:before="0"/>
      </w:pPr>
      <w:r>
        <w:rPr>
          <w:b w:val="0"/>
          <w:sz w:val="22"/>
        </w:rPr>
        <w:t>(b) Give an oral antihistamine</w:t>
      </w:r>
    </w:p>
    <w:p>
      <w:pPr>
        <w:spacing w:after="0" w:before="0"/>
      </w:pPr>
      <w:r>
        <w:rPr>
          <w:b w:val="0"/>
          <w:sz w:val="22"/>
        </w:rPr>
        <w:t>(c) Establish IV access first</w:t>
      </w:r>
    </w:p>
    <w:p>
      <w:pPr>
        <w:spacing w:after="0" w:before="0"/>
      </w:pPr>
      <w:r>
        <w:rPr>
          <w:b w:val="0"/>
          <w:sz w:val="22"/>
        </w:rPr>
        <w:t>(d) Apply oxygen by face mask</w:t>
      </w:r>
    </w:p>
    <w:p>
      <w:pPr>
        <w:spacing w:after="0" w:before="40"/>
      </w:pPr>
      <w:r>
        <w:rPr>
          <w:b/>
          <w:sz w:val="22"/>
        </w:rPr>
        <w:t>Answer: a</w:t>
      </w:r>
    </w:p>
    <w:p>
      <w:pPr>
        <w:spacing w:after="0" w:before="0"/>
      </w:pPr>
      <w:r>
        <w:rPr>
          <w:b w:val="0"/>
          <w:sz w:val="21"/>
        </w:rPr>
        <w:t>Solution: Epinephrine IM is the first-line, life-saving treatment for anaphylaxis; it reverses bronchospasm, laryngeal edema and hypotension.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vaccine can be frozen?</w:t>
      </w:r>
    </w:p>
    <w:p>
      <w:pPr>
        <w:spacing w:after="0" w:before="0"/>
      </w:pPr>
      <w:r>
        <w:rPr>
          <w:b w:val="0"/>
          <w:sz w:val="22"/>
        </w:rPr>
        <w:t>(a) DPT/DT</w:t>
      </w:r>
    </w:p>
    <w:p>
      <w:pPr>
        <w:spacing w:after="0" w:before="0"/>
      </w:pPr>
      <w:r>
        <w:rPr>
          <w:b w:val="0"/>
          <w:sz w:val="22"/>
        </w:rPr>
        <w:t>(b) BCG</w:t>
      </w:r>
    </w:p>
    <w:p>
      <w:pPr>
        <w:spacing w:after="0" w:before="0"/>
      </w:pPr>
      <w:r>
        <w:rPr>
          <w:b w:val="0"/>
          <w:sz w:val="22"/>
        </w:rPr>
        <w:t>(c) MMR</w:t>
      </w:r>
    </w:p>
    <w:p>
      <w:pPr>
        <w:spacing w:after="0" w:before="0"/>
      </w:pPr>
      <w:r>
        <w:rPr>
          <w:b w:val="0"/>
          <w:sz w:val="22"/>
        </w:rPr>
        <w:t>(d) polio</w:t>
      </w:r>
    </w:p>
    <w:p>
      <w:pPr>
        <w:spacing w:after="0" w:before="40"/>
      </w:pPr>
      <w:r>
        <w:rPr>
          <w:b/>
          <w:sz w:val="22"/>
        </w:rPr>
        <w:t>Answer: c</w:t>
      </w:r>
    </w:p>
    <w:p>
      <w:pPr>
        <w:spacing w:after="0" w:before="0"/>
      </w:pPr>
      <w:r>
        <w:rPr>
          <w:b w:val="0"/>
          <w:sz w:val="21"/>
        </w:rPr>
        <w:t>Solution: Freeze-dried vaccines such as MMR can be stored frozen, whereas liquid vaccines containing adjuvants (DPT, TT, Hepatitis B) must never be frozen.</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