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Which of the following is an example of an X-linked dominant disorder?</w:t>
      </w:r>
    </w:p>
    <w:p>
      <w:pPr>
        <w:spacing w:after="0" w:before="0"/>
      </w:pPr>
      <w:r>
        <w:rPr>
          <w:b w:val="0"/>
          <w:sz w:val="22"/>
        </w:rPr>
        <w:t>(a) Vitamin D-resistant rickets</w:t>
      </w:r>
    </w:p>
    <w:p>
      <w:pPr>
        <w:spacing w:after="0" w:before="0"/>
      </w:pPr>
      <w:r>
        <w:rPr>
          <w:b w:val="0"/>
          <w:sz w:val="22"/>
        </w:rPr>
        <w:t>(b) Colour blindness</w:t>
      </w:r>
    </w:p>
    <w:p>
      <w:pPr>
        <w:spacing w:after="0" w:before="0"/>
      </w:pPr>
      <w:r>
        <w:rPr>
          <w:b w:val="0"/>
          <w:sz w:val="22"/>
        </w:rPr>
        <w:t>(c) Duchenne muscular dystrophy</w:t>
      </w:r>
    </w:p>
    <w:p>
      <w:pPr>
        <w:spacing w:after="0" w:before="0"/>
      </w:pPr>
      <w:r>
        <w:rPr>
          <w:b w:val="0"/>
          <w:sz w:val="22"/>
        </w:rPr>
        <w:t>(d) Haemophilia</w:t>
      </w:r>
    </w:p>
    <w:p>
      <w:pPr>
        <w:spacing w:after="0" w:before="40"/>
      </w:pPr>
      <w:r>
        <w:rPr>
          <w:b/>
          <w:sz w:val="22"/>
        </w:rPr>
        <w:t>Answer: a</w:t>
      </w:r>
    </w:p>
    <w:p>
      <w:pPr>
        <w:spacing w:after="0" w:before="0"/>
      </w:pPr>
      <w:r>
        <w:rPr>
          <w:b w:val="0"/>
          <w:sz w:val="21"/>
        </w:rPr>
        <w:t>Solution: X-linked dominant disorders (e.g., vitamin D-resistant rickets) affect both sexes and an affected male transmits the trait to all daughters but to no sons; haemophilia, colour blindness and DMD are X-linked recessive.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treatment guidelines is NOT recommended in dengue fever?</w:t>
      </w:r>
    </w:p>
    <w:p>
      <w:pPr>
        <w:spacing w:after="0" w:before="0"/>
      </w:pPr>
      <w:r>
        <w:rPr>
          <w:b w:val="0"/>
          <w:sz w:val="22"/>
        </w:rPr>
        <w:t>(a) Use of NSAIDs such as ibuprofen</w:t>
      </w:r>
    </w:p>
    <w:p>
      <w:pPr>
        <w:spacing w:after="0" w:before="0"/>
      </w:pPr>
      <w:r>
        <w:rPr>
          <w:b w:val="0"/>
          <w:sz w:val="22"/>
        </w:rPr>
        <w:t>(b) Use of oral acetaminophen (paracetamol)</w:t>
      </w:r>
    </w:p>
    <w:p>
      <w:pPr>
        <w:spacing w:after="0" w:before="0"/>
      </w:pPr>
      <w:r>
        <w:rPr>
          <w:b w:val="0"/>
          <w:sz w:val="22"/>
        </w:rPr>
        <w:t>(c) Staying well hydrated</w:t>
      </w:r>
    </w:p>
    <w:p>
      <w:pPr>
        <w:spacing w:after="0" w:before="0"/>
      </w:pPr>
      <w:r>
        <w:rPr>
          <w:b w:val="0"/>
          <w:sz w:val="22"/>
        </w:rPr>
        <w:t>(d) Rest and sleep</w:t>
      </w:r>
    </w:p>
    <w:p>
      <w:pPr>
        <w:spacing w:after="0" w:before="40"/>
      </w:pPr>
      <w:r>
        <w:rPr>
          <w:b/>
          <w:sz w:val="22"/>
        </w:rPr>
        <w:t>Answer: a</w:t>
      </w:r>
    </w:p>
    <w:p>
      <w:pPr>
        <w:spacing w:after="0" w:before="0"/>
      </w:pPr>
      <w:r>
        <w:rPr>
          <w:b w:val="0"/>
          <w:sz w:val="21"/>
        </w:rPr>
        <w:t>Solution: NSAIDs are NOT recommended in dengue fever because they interfere with platelet function and increase the risk of bleeding; hydration, rest and oral acetaminophen (paracetamol) are the recommended measures.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When did India commence COVID-19 vaccination with COVAXIN?</w:t>
      </w:r>
    </w:p>
    <w:p>
      <w:pPr>
        <w:spacing w:after="0" w:before="0"/>
      </w:pPr>
      <w:r>
        <w:rPr>
          <w:b w:val="0"/>
          <w:sz w:val="22"/>
        </w:rPr>
        <w:t>(a) 20 January 2021,</w:t>
      </w:r>
    </w:p>
    <w:p>
      <w:pPr>
        <w:spacing w:after="0" w:before="0"/>
      </w:pPr>
      <w:r>
        <w:rPr>
          <w:b w:val="0"/>
          <w:sz w:val="22"/>
        </w:rPr>
        <w:t>(b) 18 January 2021,</w:t>
      </w:r>
    </w:p>
    <w:p>
      <w:pPr>
        <w:spacing w:after="0" w:before="0"/>
      </w:pPr>
      <w:r>
        <w:rPr>
          <w:b w:val="0"/>
          <w:sz w:val="22"/>
        </w:rPr>
        <w:t>(c) 22 January 2021,</w:t>
      </w:r>
    </w:p>
    <w:p>
      <w:pPr>
        <w:spacing w:after="0" w:before="0"/>
      </w:pPr>
      <w:r>
        <w:rPr>
          <w:b w:val="0"/>
          <w:sz w:val="22"/>
        </w:rPr>
        <w:t>(d) 16 January 2021,</w:t>
      </w:r>
    </w:p>
    <w:p>
      <w:pPr>
        <w:spacing w:after="0" w:before="40"/>
      </w:pPr>
      <w:r>
        <w:rPr>
          <w:b/>
          <w:sz w:val="22"/>
        </w:rPr>
        <w:t>Answer: d</w:t>
      </w:r>
    </w:p>
    <w:p>
      <w:pPr>
        <w:spacing w:after="0" w:before="0"/>
      </w:pPr>
      <w:r>
        <w:rPr>
          <w:b w:val="0"/>
          <w:sz w:val="21"/>
        </w:rPr>
        <w:t>Solution: India commenced COVID-19 vaccination with COVAXIN on 16 January 2021 (option A). COVAXIN is an indigenous COVID-19 vaccine developed by Bharat Biotech in collaboration with the Indian Council of Medical Research (ICMR) and the National Institute of Virology (NIV). It is a whole-virion inactivated vaccine that triggers an immune response against the SARS-CoV-2 virus. The vaccination campaign in India aimed to protect individuals against COVID-19 and reduce the impact of the pandemic. The vaccine rollout followed a phased approach, prioritizing healthcare workers, frontline workers, and individuals at higher risk.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not used before ECT Procedure?</w:t>
      </w:r>
    </w:p>
    <w:p>
      <w:pPr>
        <w:spacing w:after="0" w:before="0"/>
      </w:pPr>
      <w:r>
        <w:rPr>
          <w:b w:val="0"/>
          <w:sz w:val="22"/>
        </w:rPr>
        <w:t>(a) Wash the oils from hair</w:t>
      </w:r>
    </w:p>
    <w:p>
      <w:pPr>
        <w:spacing w:after="0" w:before="0"/>
      </w:pPr>
      <w:r>
        <w:rPr>
          <w:b w:val="0"/>
          <w:sz w:val="22"/>
        </w:rPr>
        <w:t>(b) Have light meal before the procedure</w:t>
      </w:r>
    </w:p>
    <w:p>
      <w:pPr>
        <w:spacing w:after="0" w:before="0"/>
      </w:pPr>
      <w:r>
        <w:rPr>
          <w:b w:val="0"/>
          <w:sz w:val="22"/>
        </w:rPr>
        <w:t>(c) Premedication with anticholinergic</w:t>
      </w:r>
    </w:p>
    <w:p>
      <w:pPr>
        <w:spacing w:after="0" w:before="0"/>
      </w:pPr>
      <w:r>
        <w:rPr>
          <w:b w:val="0"/>
          <w:sz w:val="22"/>
        </w:rPr>
        <w:t>(d) NPO</w:t>
      </w:r>
    </w:p>
    <w:p>
      <w:pPr>
        <w:spacing w:after="0" w:before="40"/>
      </w:pPr>
      <w:r>
        <w:rPr>
          <w:b/>
          <w:sz w:val="22"/>
        </w:rPr>
        <w:t>Answer: b</w:t>
      </w:r>
    </w:p>
    <w:p>
      <w:pPr>
        <w:spacing w:after="0" w:before="0"/>
      </w:pPr>
      <w:r>
        <w:rPr>
          <w:b w:val="0"/>
          <w:sz w:val="21"/>
        </w:rPr>
        <w:t>Solution: Before the administration of electroconvulsive therapy (ECT), it is not recommended to have a light meal. The reason is that ECT requires the patient to be under general anesthesia, and having a meal prior to the procedure increases the risk of aspiration, where stomach contents can enter the lungs during anesthesia induction. Therefore, it is advised for patients to follow NPO (nothing by mouth) guidelines for a specific duration before ECT to minimize the risk of complications. "The Maudsley Prescribing Guidelines in Psychiatry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fat emulsification/cracking is observed in a TPN (Total Parenteral Nutrition) lipid bag, the nurse's immediate action is</w:t>
      </w:r>
    </w:p>
    <w:p>
      <w:pPr>
        <w:spacing w:after="0" w:before="0"/>
      </w:pPr>
      <w:r>
        <w:rPr>
          <w:b w:val="0"/>
          <w:sz w:val="22"/>
        </w:rPr>
        <w:t>(a) Increase infusion rate</w:t>
      </w:r>
    </w:p>
    <w:p>
      <w:pPr>
        <w:spacing w:after="0" w:before="0"/>
      </w:pPr>
      <w:r>
        <w:rPr>
          <w:b w:val="0"/>
          <w:sz w:val="22"/>
        </w:rPr>
        <w:t>(b) Continue infusion normally</w:t>
      </w:r>
    </w:p>
    <w:p>
      <w:pPr>
        <w:spacing w:after="0" w:before="0"/>
      </w:pPr>
      <w:r>
        <w:rPr>
          <w:b w:val="0"/>
          <w:sz w:val="22"/>
        </w:rPr>
        <w:t>(c) Stop infusion and replace with a fresh TPN bag</w:t>
      </w:r>
    </w:p>
    <w:p>
      <w:pPr>
        <w:spacing w:after="0" w:before="0"/>
      </w:pPr>
      <w:r>
        <w:rPr>
          <w:b w:val="0"/>
          <w:sz w:val="22"/>
        </w:rPr>
        <w:t>(d) Vigorously shake/rub the bag</w:t>
      </w:r>
    </w:p>
    <w:p>
      <w:pPr>
        <w:spacing w:after="0" w:before="40"/>
      </w:pPr>
      <w:r>
        <w:rPr>
          <w:b/>
          <w:sz w:val="22"/>
        </w:rPr>
        <w:t>Answer: c</w:t>
      </w:r>
    </w:p>
    <w:p>
      <w:pPr>
        <w:spacing w:after="0" w:before="0"/>
      </w:pPr>
      <w:r>
        <w:rPr>
          <w:b w:val="0"/>
          <w:sz w:val="21"/>
        </w:rPr>
        <w:t>Solution: Fat emulsion separation (cracking/oiling) forms large fat globules that can cause fat embolism if infused. The bag must be discarded immediately.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disease is caused by rat fleas? Vitamin B (Nutrition)</w:t>
      </w:r>
    </w:p>
    <w:p>
      <w:pPr>
        <w:spacing w:after="0" w:before="0"/>
      </w:pPr>
      <w:r>
        <w:rPr>
          <w:b w:val="0"/>
          <w:sz w:val="22"/>
        </w:rPr>
        <w:t>(a) Endemic typhus</w:t>
      </w:r>
    </w:p>
    <w:p>
      <w:pPr>
        <w:spacing w:after="0" w:before="0"/>
      </w:pPr>
      <w:r>
        <w:rPr>
          <w:b w:val="0"/>
          <w:sz w:val="22"/>
        </w:rPr>
        <w:t>(b) Sleeping sickness V</w:t>
      </w:r>
    </w:p>
    <w:p>
      <w:pPr>
        <w:spacing w:after="0" w:before="0"/>
      </w:pPr>
      <w:r>
        <w:rPr>
          <w:b w:val="0"/>
          <w:sz w:val="22"/>
        </w:rPr>
        <w:t>(c) Rocky mountain spotted fever</w:t>
      </w:r>
    </w:p>
    <w:p>
      <w:pPr>
        <w:spacing w:after="0" w:before="0"/>
      </w:pPr>
      <w:r>
        <w:rPr>
          <w:b w:val="0"/>
          <w:sz w:val="22"/>
        </w:rPr>
        <w:t>(d) Epidemic typhus</w:t>
      </w:r>
    </w:p>
    <w:p>
      <w:pPr>
        <w:spacing w:after="0" w:before="40"/>
      </w:pPr>
      <w:r>
        <w:rPr>
          <w:b/>
          <w:sz w:val="22"/>
        </w:rPr>
        <w:t>Answer: a</w:t>
      </w:r>
    </w:p>
    <w:p>
      <w:pPr>
        <w:spacing w:after="0" w:before="0"/>
      </w:pPr>
      <w:r>
        <w:rPr>
          <w:b w:val="0"/>
          <w:sz w:val="21"/>
        </w:rPr>
        <w:t>Solution: The disease caused by rat fleas is endemic typhus (option D). Endemic typhus, also known as murine typhus, is a bacterial infection caused by Rickettsia typhi. It is transmitted to humans through the bite of infected fleas, primarily the rat flea (Xenopsylla cheopis). Rat fleas typically infest rats, and when these infected rats come into close contact with humans, the fleas can bite and transmit the bacteria. Endemic typhus is characterized by fever, headache, rash, and body aches. It is typically a milder form of typhus compared to epidemic typhus, which is caused by a different species of Rickettsia.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which of the following vaccine, cold chain must be maintained?</w:t>
      </w:r>
    </w:p>
    <w:p>
      <w:pPr>
        <w:spacing w:after="0" w:before="0"/>
      </w:pPr>
      <w:r>
        <w:rPr>
          <w:b w:val="0"/>
          <w:sz w:val="22"/>
        </w:rPr>
        <w:t>(a) Killed vaccine</w:t>
      </w:r>
    </w:p>
    <w:p>
      <w:pPr>
        <w:spacing w:after="0" w:before="0"/>
      </w:pPr>
      <w:r>
        <w:rPr>
          <w:b w:val="0"/>
          <w:sz w:val="22"/>
        </w:rPr>
        <w:t>(b) Toxoids</w:t>
      </w:r>
    </w:p>
    <w:p>
      <w:pPr>
        <w:spacing w:after="0" w:before="0"/>
      </w:pPr>
      <w:r>
        <w:rPr>
          <w:b w:val="0"/>
          <w:sz w:val="22"/>
        </w:rPr>
        <w:t>(c) Live vaccine</w:t>
      </w:r>
    </w:p>
    <w:p>
      <w:pPr>
        <w:spacing w:after="0" w:before="0"/>
      </w:pPr>
      <w:r>
        <w:rPr>
          <w:b w:val="0"/>
          <w:sz w:val="22"/>
        </w:rPr>
        <w:t>(d) Serums</w:t>
      </w:r>
    </w:p>
    <w:p>
      <w:pPr>
        <w:spacing w:after="0" w:before="40"/>
      </w:pPr>
      <w:r>
        <w:rPr>
          <w:b/>
          <w:sz w:val="22"/>
        </w:rPr>
        <w:t>Answer: c</w:t>
      </w:r>
    </w:p>
    <w:p>
      <w:pPr>
        <w:spacing w:after="0" w:before="0"/>
      </w:pPr>
      <w:r>
        <w:rPr>
          <w:b w:val="0"/>
          <w:sz w:val="21"/>
        </w:rPr>
        <w:t>Solution: In the case of live vaccines, the cold chain must be maintained. Live vaccines contain live attenuated or weakened forms of the pathogens they protect against. Examples of live vaccines include the measles, mumps, and rubella (MMR) vaccine, the oral polio vaccine (OPV), and the yellow fever vaccine. These vaccines are sensitive to heat and can lose their potency if not stored and transported within specific temperature ranges. The cold chain refers to the system of temperature control from the point of manufacture to the point of administration. It involves refrigeration and the use of temperature- monitoring equipment to ensure the vaccines remain viable and effective. "Vaccines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initial diagnostic investigation of choice for suspected Placenta Previa in third trimester bleeding?</w:t>
      </w:r>
    </w:p>
    <w:p>
      <w:pPr>
        <w:spacing w:after="0" w:before="0"/>
      </w:pPr>
      <w:r>
        <w:rPr>
          <w:b w:val="0"/>
          <w:sz w:val="22"/>
        </w:rPr>
        <w:t>(a) Pelvic X-ray</w:t>
      </w:r>
    </w:p>
    <w:p>
      <w:pPr>
        <w:spacing w:after="0" w:before="0"/>
      </w:pPr>
      <w:r>
        <w:rPr>
          <w:b w:val="0"/>
          <w:sz w:val="22"/>
        </w:rPr>
        <w:t>(b) CT scan</w:t>
      </w:r>
    </w:p>
    <w:p>
      <w:pPr>
        <w:spacing w:after="0" w:before="0"/>
      </w:pPr>
      <w:r>
        <w:rPr>
          <w:b w:val="0"/>
          <w:sz w:val="22"/>
        </w:rPr>
        <w:t>(c) Obstetric Transabdominal / Transvaginal Ultrasonography (USG)</w:t>
      </w:r>
    </w:p>
    <w:p>
      <w:pPr>
        <w:spacing w:after="0" w:before="0"/>
      </w:pPr>
      <w:r>
        <w:rPr>
          <w:b w:val="0"/>
          <w:sz w:val="22"/>
        </w:rPr>
        <w:t>(d) MRI scan</w:t>
      </w:r>
    </w:p>
    <w:p>
      <w:pPr>
        <w:spacing w:after="0" w:before="40"/>
      </w:pPr>
      <w:r>
        <w:rPr>
          <w:b/>
          <w:sz w:val="22"/>
        </w:rPr>
        <w:t>Answer: c</w:t>
      </w:r>
    </w:p>
    <w:p>
      <w:pPr>
        <w:spacing w:after="0" w:before="0"/>
      </w:pPr>
      <w:r>
        <w:rPr>
          <w:b w:val="0"/>
          <w:sz w:val="21"/>
        </w:rPr>
        <w:t>Solution: Ultrasonography (USG) is the safe, non-invasive gold standard investigation to locate placental implantation site and diagnose placenta previa.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Pregnant lady with card presentation in what is nursing priority?</w:t>
      </w:r>
    </w:p>
    <w:p>
      <w:pPr>
        <w:spacing w:after="0" w:before="0"/>
      </w:pPr>
      <w:r>
        <w:rPr>
          <w:b w:val="0"/>
          <w:sz w:val="22"/>
        </w:rPr>
        <w:t>(a) Gently push the cord</w:t>
      </w:r>
    </w:p>
    <w:p>
      <w:pPr>
        <w:spacing w:after="0" w:before="0"/>
      </w:pPr>
      <w:r>
        <w:rPr>
          <w:b w:val="0"/>
          <w:sz w:val="22"/>
        </w:rPr>
        <w:t>(b) Give reverse Trendelenburg position</w:t>
      </w:r>
    </w:p>
    <w:p>
      <w:pPr>
        <w:spacing w:after="0" w:before="0"/>
      </w:pPr>
      <w:r>
        <w:rPr>
          <w:b w:val="0"/>
          <w:sz w:val="22"/>
        </w:rPr>
        <w:t>(c) Inform to HCP</w:t>
      </w:r>
    </w:p>
    <w:p>
      <w:pPr>
        <w:spacing w:after="0" w:before="0"/>
      </w:pPr>
      <w:r>
        <w:rPr>
          <w:b w:val="0"/>
          <w:sz w:val="22"/>
        </w:rPr>
        <w:t>(d) Give Trendelenburg position</w:t>
      </w:r>
    </w:p>
    <w:p>
      <w:pPr>
        <w:spacing w:after="0" w:before="40"/>
      </w:pPr>
      <w:r>
        <w:rPr>
          <w:b/>
          <w:sz w:val="22"/>
        </w:rPr>
        <w:t>Answer: d</w:t>
      </w:r>
    </w:p>
    <w:p>
      <w:pPr>
        <w:spacing w:after="0" w:before="0"/>
      </w:pPr>
      <w:r>
        <w:rPr>
          <w:b w:val="0"/>
          <w:sz w:val="21"/>
        </w:rPr>
        <w:t>Solution: In cord prolapse, place the mother in Trendelenburg or knee-chest position to relieve compression of the cord while preparing for urgent delivery.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An Anganwadi worker assess the malnutrition status by:</w:t>
      </w:r>
    </w:p>
    <w:p>
      <w:pPr>
        <w:spacing w:after="0" w:before="0"/>
      </w:pPr>
      <w:r>
        <w:rPr>
          <w:b w:val="0"/>
          <w:sz w:val="22"/>
        </w:rPr>
        <w:t>(a) Weight for age</w:t>
      </w:r>
    </w:p>
    <w:p>
      <w:pPr>
        <w:spacing w:after="0" w:before="0"/>
      </w:pPr>
      <w:r>
        <w:rPr>
          <w:b w:val="0"/>
          <w:sz w:val="22"/>
        </w:rPr>
        <w:t>(b) Mid arm circumference</w:t>
      </w:r>
    </w:p>
    <w:p>
      <w:pPr>
        <w:spacing w:after="0" w:before="0"/>
      </w:pPr>
      <w:r>
        <w:rPr>
          <w:b w:val="0"/>
          <w:sz w:val="22"/>
        </w:rPr>
        <w:t>(c) Height for age</w:t>
      </w:r>
    </w:p>
    <w:p>
      <w:pPr>
        <w:spacing w:after="0" w:before="0"/>
      </w:pPr>
      <w:r>
        <w:rPr>
          <w:b w:val="0"/>
          <w:sz w:val="22"/>
        </w:rPr>
        <w:t>(d) Weight for height</w:t>
      </w:r>
    </w:p>
    <w:p>
      <w:pPr>
        <w:spacing w:after="0" w:before="40"/>
      </w:pPr>
      <w:r>
        <w:rPr>
          <w:b/>
          <w:sz w:val="22"/>
        </w:rPr>
        <w:t>Answer: a</w:t>
      </w:r>
    </w:p>
    <w:p>
      <w:pPr>
        <w:spacing w:after="0" w:before="0"/>
      </w:pPr>
      <w:r>
        <w:rPr>
          <w:b w:val="0"/>
          <w:sz w:val="21"/>
        </w:rPr>
        <w:t>Solution: Anganwadi workers assess malnutrition in children by weight for age (growth monitoring under ICDS).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should be the immediate action in cases of severe bleeding?</w:t>
      </w:r>
    </w:p>
    <w:p>
      <w:pPr>
        <w:spacing w:after="0" w:before="0"/>
      </w:pPr>
      <w:r>
        <w:rPr>
          <w:b w:val="0"/>
          <w:sz w:val="22"/>
        </w:rPr>
        <w:t>(a) cover it with a pad of soft material</w:t>
      </w:r>
    </w:p>
    <w:p>
      <w:pPr>
        <w:spacing w:after="0" w:before="0"/>
      </w:pPr>
      <w:r>
        <w:rPr>
          <w:b w:val="0"/>
          <w:sz w:val="22"/>
        </w:rPr>
        <w:t>(b) put a dressing over the wound</w:t>
      </w:r>
    </w:p>
    <w:p>
      <w:pPr>
        <w:spacing w:after="0" w:before="0"/>
      </w:pPr>
      <w:r>
        <w:rPr>
          <w:b w:val="0"/>
          <w:sz w:val="22"/>
        </w:rPr>
        <w:t>(c) apply pressure to the wound</w:t>
      </w:r>
    </w:p>
    <w:p>
      <w:pPr>
        <w:spacing w:after="0" w:before="0"/>
      </w:pPr>
      <w:r>
        <w:rPr>
          <w:b w:val="0"/>
          <w:sz w:val="22"/>
        </w:rPr>
        <w:t>(d) call for medical assistance</w:t>
      </w:r>
    </w:p>
    <w:p>
      <w:pPr>
        <w:spacing w:after="0" w:before="40"/>
      </w:pPr>
      <w:r>
        <w:rPr>
          <w:b/>
          <w:sz w:val="22"/>
        </w:rPr>
        <w:t>Answer: c</w:t>
      </w:r>
    </w:p>
    <w:p>
      <w:pPr>
        <w:spacing w:after="0" w:before="0"/>
      </w:pPr>
      <w:r>
        <w:rPr>
          <w:b w:val="0"/>
          <w:sz w:val="21"/>
        </w:rPr>
        <w:t>Solution: The immediate action in severe bleeding is to apply firm direct pressure over the wound.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room temperature should be maintained during the period of phototherapy?</w:t>
      </w:r>
    </w:p>
    <w:p>
      <w:pPr>
        <w:spacing w:after="0" w:before="0"/>
      </w:pPr>
      <w:r>
        <w:rPr>
          <w:b w:val="0"/>
          <w:sz w:val="22"/>
        </w:rPr>
        <w:t>(a) 30-32°C</w:t>
      </w:r>
    </w:p>
    <w:p>
      <w:pPr>
        <w:spacing w:after="0" w:before="0"/>
      </w:pPr>
      <w:r>
        <w:rPr>
          <w:b w:val="0"/>
          <w:sz w:val="22"/>
        </w:rPr>
        <w:t>(b) 28-30°C</w:t>
      </w:r>
    </w:p>
    <w:p>
      <w:pPr>
        <w:spacing w:after="0" w:before="0"/>
      </w:pPr>
      <w:r>
        <w:rPr>
          <w:b w:val="0"/>
          <w:sz w:val="22"/>
        </w:rPr>
        <w:t>(c) 24-26°C</w:t>
      </w:r>
    </w:p>
    <w:p>
      <w:pPr>
        <w:spacing w:after="0" w:before="0"/>
      </w:pPr>
      <w:r>
        <w:rPr>
          <w:b w:val="0"/>
          <w:sz w:val="22"/>
        </w:rPr>
        <w:t>(d) 26-28°C</w:t>
      </w:r>
    </w:p>
    <w:p>
      <w:pPr>
        <w:spacing w:after="0" w:before="40"/>
      </w:pPr>
      <w:r>
        <w:rPr>
          <w:b/>
          <w:sz w:val="22"/>
        </w:rPr>
        <w:t>Answer: b</w:t>
      </w:r>
    </w:p>
    <w:p>
      <w:pPr>
        <w:spacing w:after="0" w:before="0"/>
      </w:pPr>
      <w:r>
        <w:rPr>
          <w:b w:val="0"/>
          <w:sz w:val="21"/>
        </w:rPr>
        <w:t>Solution: A room temperature of 28-30°C is maintained during phototherapy to prevent hypothermia in the neonate.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an example of primary prevention?</w:t>
      </w:r>
    </w:p>
    <w:p>
      <w:pPr>
        <w:spacing w:after="0" w:before="0"/>
      </w:pPr>
      <w:r>
        <w:rPr>
          <w:b w:val="0"/>
          <w:sz w:val="22"/>
        </w:rPr>
        <w:t>(a) Immunisation against measles</w:t>
      </w:r>
    </w:p>
    <w:p>
      <w:pPr>
        <w:spacing w:after="0" w:before="0"/>
      </w:pPr>
      <w:r>
        <w:rPr>
          <w:b w:val="0"/>
          <w:sz w:val="22"/>
        </w:rPr>
        <w:t>(b) Screening for hypertension</w:t>
      </w:r>
    </w:p>
    <w:p>
      <w:pPr>
        <w:spacing w:after="0" w:before="0"/>
      </w:pPr>
      <w:r>
        <w:rPr>
          <w:b w:val="0"/>
          <w:sz w:val="22"/>
        </w:rPr>
        <w:t>(c) Rehabilitation after stroke</w:t>
      </w:r>
    </w:p>
    <w:p>
      <w:pPr>
        <w:spacing w:after="0" w:before="0"/>
      </w:pPr>
      <w:r>
        <w:rPr>
          <w:b w:val="0"/>
          <w:sz w:val="22"/>
        </w:rPr>
        <w:t>(d) Early treatment of tuberculosis</w:t>
      </w:r>
    </w:p>
    <w:p>
      <w:pPr>
        <w:spacing w:after="0" w:before="40"/>
      </w:pPr>
      <w:r>
        <w:rPr>
          <w:b/>
          <w:sz w:val="22"/>
        </w:rPr>
        <w:t>Answer: a</w:t>
      </w:r>
    </w:p>
    <w:p>
      <w:pPr>
        <w:spacing w:after="0" w:before="0"/>
      </w:pPr>
      <w:r>
        <w:rPr>
          <w:b w:val="0"/>
          <w:sz w:val="21"/>
        </w:rPr>
        <w:t>Solution: Immunisation prevents disease before it occurs - primary prevention; screening is secondary prevention.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nurse uses DPT vaccine and found that vial has granules. What is the next nursing action?</w:t>
      </w:r>
    </w:p>
    <w:p>
      <w:pPr>
        <w:spacing w:after="0" w:before="0"/>
      </w:pPr>
      <w:r>
        <w:rPr>
          <w:b w:val="0"/>
          <w:sz w:val="22"/>
        </w:rPr>
        <w:t>(a) Shake vigorously</w:t>
      </w:r>
    </w:p>
    <w:p>
      <w:pPr>
        <w:spacing w:after="0" w:before="0"/>
      </w:pPr>
      <w:r>
        <w:rPr>
          <w:b w:val="0"/>
          <w:sz w:val="22"/>
        </w:rPr>
        <w:t>(b) Discard the vial</w:t>
      </w:r>
    </w:p>
    <w:p>
      <w:pPr>
        <w:spacing w:after="0" w:before="0"/>
      </w:pPr>
      <w:r>
        <w:rPr>
          <w:b w:val="0"/>
          <w:sz w:val="22"/>
        </w:rPr>
        <w:t>(c) Check after 15 min</w:t>
      </w:r>
    </w:p>
    <w:p>
      <w:pPr>
        <w:spacing w:after="0" w:before="0"/>
      </w:pPr>
      <w:r>
        <w:rPr>
          <w:b w:val="0"/>
          <w:sz w:val="22"/>
        </w:rPr>
        <w:t>(d) Keep using the vial</w:t>
      </w:r>
    </w:p>
    <w:p>
      <w:pPr>
        <w:spacing w:after="0" w:before="40"/>
      </w:pPr>
      <w:r>
        <w:rPr>
          <w:b/>
          <w:sz w:val="22"/>
        </w:rPr>
        <w:t>Answer: b</w:t>
      </w:r>
    </w:p>
    <w:p>
      <w:pPr>
        <w:spacing w:after="0" w:before="0"/>
      </w:pPr>
      <w:r>
        <w:rPr>
          <w:b w:val="0"/>
          <w:sz w:val="21"/>
        </w:rPr>
        <w:t>Solution: A DPT vial showing granules has lost potency and must be discarded.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All of the following disease fall under National Vector Born Disease Control Program except</w:t>
      </w:r>
    </w:p>
    <w:p>
      <w:pPr>
        <w:spacing w:after="0" w:before="0"/>
      </w:pPr>
      <w:r>
        <w:rPr>
          <w:b w:val="0"/>
          <w:sz w:val="22"/>
        </w:rPr>
        <w:t>(a) Dengue</w:t>
      </w:r>
    </w:p>
    <w:p>
      <w:pPr>
        <w:spacing w:after="0" w:before="0"/>
      </w:pPr>
      <w:r>
        <w:rPr>
          <w:b w:val="0"/>
          <w:sz w:val="22"/>
        </w:rPr>
        <w:t>(b) Chikungunya</w:t>
      </w:r>
    </w:p>
    <w:p>
      <w:pPr>
        <w:spacing w:after="0" w:before="0"/>
      </w:pPr>
      <w:r>
        <w:rPr>
          <w:b w:val="0"/>
          <w:sz w:val="22"/>
        </w:rPr>
        <w:t>(c) Filaria</w:t>
      </w:r>
    </w:p>
    <w:p>
      <w:pPr>
        <w:spacing w:after="0" w:before="0"/>
      </w:pPr>
      <w:r>
        <w:rPr>
          <w:b w:val="0"/>
          <w:sz w:val="22"/>
        </w:rPr>
        <w:t>(d) Plague</w:t>
      </w:r>
    </w:p>
    <w:p>
      <w:pPr>
        <w:spacing w:after="0" w:before="40"/>
      </w:pPr>
      <w:r>
        <w:rPr>
          <w:b/>
          <w:sz w:val="22"/>
        </w:rPr>
        <w:t>Answer: d</w:t>
      </w:r>
    </w:p>
    <w:p>
      <w:pPr>
        <w:spacing w:after="0" w:before="0"/>
      </w:pPr>
      <w:r>
        <w:rPr>
          <w:b w:val="0"/>
          <w:sz w:val="21"/>
        </w:rPr>
        <w:t>Solution: Plague is not a vector-borne disease included under NVBDCP; filaria, chikungunya and dengue are.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Most heat sensitive vaccine is:</w:t>
      </w:r>
    </w:p>
    <w:p>
      <w:pPr>
        <w:spacing w:after="0" w:before="0"/>
      </w:pPr>
      <w:r>
        <w:rPr>
          <w:b w:val="0"/>
          <w:sz w:val="22"/>
        </w:rPr>
        <w:t>(a) OPV</w:t>
      </w:r>
    </w:p>
    <w:p>
      <w:pPr>
        <w:spacing w:after="0" w:before="0"/>
      </w:pPr>
      <w:r>
        <w:rPr>
          <w:b w:val="0"/>
          <w:sz w:val="22"/>
        </w:rPr>
        <w:t>(b) Measles</w:t>
      </w:r>
    </w:p>
    <w:p>
      <w:pPr>
        <w:spacing w:after="0" w:before="0"/>
      </w:pPr>
      <w:r>
        <w:rPr>
          <w:b w:val="0"/>
          <w:sz w:val="22"/>
        </w:rPr>
        <w:t>(c) Hepatitis B</w:t>
      </w:r>
    </w:p>
    <w:p>
      <w:pPr>
        <w:spacing w:after="0" w:before="0"/>
      </w:pPr>
      <w:r>
        <w:rPr>
          <w:b w:val="0"/>
          <w:sz w:val="22"/>
        </w:rPr>
        <w:t>(d) DPT</w:t>
      </w:r>
    </w:p>
    <w:p>
      <w:pPr>
        <w:spacing w:after="0" w:before="40"/>
      </w:pPr>
      <w:r>
        <w:rPr>
          <w:b/>
          <w:sz w:val="22"/>
        </w:rPr>
        <w:t>Answer: a</w:t>
      </w:r>
    </w:p>
    <w:p>
      <w:pPr>
        <w:spacing w:after="0" w:before="0"/>
      </w:pPr>
      <w:r>
        <w:rPr>
          <w:b w:val="0"/>
          <w:sz w:val="21"/>
        </w:rPr>
        <w:t>Solution: OPV (oral polio vaccine) is the most heat-sensitive vaccine and must be stored at -20°C.</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vaccine can be frozen during storage?</w:t>
      </w:r>
    </w:p>
    <w:p>
      <w:pPr>
        <w:spacing w:after="0" w:before="0"/>
      </w:pPr>
      <w:r>
        <w:rPr>
          <w:b w:val="0"/>
          <w:sz w:val="22"/>
        </w:rPr>
        <w:t>(a) Polio (OPV)</w:t>
      </w:r>
    </w:p>
    <w:p>
      <w:pPr>
        <w:spacing w:after="0" w:before="0"/>
      </w:pPr>
      <w:r>
        <w:rPr>
          <w:b w:val="0"/>
          <w:sz w:val="22"/>
        </w:rPr>
        <w:t>(b) MMR</w:t>
      </w:r>
    </w:p>
    <w:p>
      <w:pPr>
        <w:spacing w:after="0" w:before="0"/>
      </w:pPr>
      <w:r>
        <w:rPr>
          <w:b w:val="0"/>
          <w:sz w:val="22"/>
        </w:rPr>
        <w:t>(c) BCG</w:t>
      </w:r>
    </w:p>
    <w:p>
      <w:pPr>
        <w:spacing w:after="0" w:before="0"/>
      </w:pPr>
      <w:r>
        <w:rPr>
          <w:b w:val="0"/>
          <w:sz w:val="22"/>
        </w:rPr>
        <w:t>(d) DPT / DT</w:t>
      </w:r>
    </w:p>
    <w:p>
      <w:pPr>
        <w:spacing w:after="0" w:before="40"/>
      </w:pPr>
      <w:r>
        <w:rPr>
          <w:b/>
          <w:sz w:val="22"/>
        </w:rPr>
        <w:t>Answer: b</w:t>
      </w:r>
    </w:p>
    <w:p>
      <w:pPr>
        <w:spacing w:after="0" w:before="0"/>
      </w:pPr>
      <w:r>
        <w:rPr>
          <w:b w:val="0"/>
          <w:sz w:val="21"/>
        </w:rPr>
        <w:t>Solution: Freeze-dried (lyophilized) vaccines like MMR and Measles can be stored in frozen state (-20°C). Liquid vaccines containing adjuvants (DPT, TT, Hepatitis B) must never be frozen.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at 34 weeks gestation is diagnosed with placenta previa. Which intervention is CONTRAINDICATED?</w:t>
      </w:r>
    </w:p>
    <w:p>
      <w:pPr>
        <w:spacing w:after="0" w:before="0"/>
      </w:pPr>
      <w:r>
        <w:rPr>
          <w:b w:val="0"/>
          <w:sz w:val="22"/>
        </w:rPr>
        <w:t>(a) Bed rest with activity restriction</w:t>
      </w:r>
    </w:p>
    <w:p>
      <w:pPr>
        <w:spacing w:after="0" w:before="0"/>
      </w:pPr>
      <w:r>
        <w:rPr>
          <w:b w:val="0"/>
          <w:sz w:val="22"/>
        </w:rPr>
        <w:t>(b) Continuous fetal monitoring</w:t>
      </w:r>
    </w:p>
    <w:p>
      <w:pPr>
        <w:spacing w:after="0" w:before="0"/>
      </w:pPr>
      <w:r>
        <w:rPr>
          <w:b w:val="0"/>
          <w:sz w:val="22"/>
        </w:rPr>
        <w:t>(c) Vaginal examination</w:t>
      </w:r>
    </w:p>
    <w:p>
      <w:pPr>
        <w:spacing w:after="0" w:before="0"/>
      </w:pPr>
      <w:r>
        <w:rPr>
          <w:b w:val="0"/>
          <w:sz w:val="22"/>
        </w:rPr>
        <w:t>(d) Maintaining IV access</w:t>
      </w:r>
    </w:p>
    <w:p>
      <w:pPr>
        <w:spacing w:after="0" w:before="40"/>
      </w:pPr>
      <w:r>
        <w:rPr>
          <w:b/>
          <w:sz w:val="22"/>
        </w:rPr>
        <w:t>Answer: c</w:t>
      </w:r>
    </w:p>
    <w:p>
      <w:pPr>
        <w:spacing w:after="0" w:before="0"/>
      </w:pPr>
      <w:r>
        <w:rPr>
          <w:b w:val="0"/>
          <w:sz w:val="21"/>
        </w:rPr>
        <w:t>Solution: Vaginal examination can precipitate catastrophic hemorrhage in placenta previa and is strictly avoided; diagnosis is confirmed by ultrasound.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vaccine should not be frozen and should be discarded If frozen?</w:t>
      </w:r>
    </w:p>
    <w:p>
      <w:pPr>
        <w:spacing w:after="0" w:before="0"/>
      </w:pPr>
      <w:r>
        <w:rPr>
          <w:b w:val="0"/>
          <w:sz w:val="22"/>
        </w:rPr>
        <w:t>(a) DPT</w:t>
      </w:r>
    </w:p>
    <w:p>
      <w:pPr>
        <w:spacing w:after="0" w:before="0"/>
      </w:pPr>
      <w:r>
        <w:rPr>
          <w:b w:val="0"/>
          <w:sz w:val="22"/>
        </w:rPr>
        <w:t>(b) MMR</w:t>
      </w:r>
    </w:p>
    <w:p>
      <w:pPr>
        <w:spacing w:after="0" w:before="0"/>
      </w:pPr>
      <w:r>
        <w:rPr>
          <w:b w:val="0"/>
          <w:sz w:val="22"/>
        </w:rPr>
        <w:t>(c) OPV</w:t>
      </w:r>
    </w:p>
    <w:p>
      <w:pPr>
        <w:spacing w:after="0" w:before="0"/>
      </w:pPr>
      <w:r>
        <w:rPr>
          <w:b w:val="0"/>
          <w:sz w:val="22"/>
        </w:rPr>
        <w:t>(d) Measles</w:t>
      </w:r>
    </w:p>
    <w:p>
      <w:pPr>
        <w:spacing w:after="0" w:before="40"/>
      </w:pPr>
      <w:r>
        <w:rPr>
          <w:b/>
          <w:sz w:val="22"/>
        </w:rPr>
        <w:t>Answer: a</w:t>
      </w:r>
    </w:p>
    <w:p>
      <w:pPr>
        <w:spacing w:after="0" w:before="0"/>
      </w:pPr>
      <w:r>
        <w:rPr>
          <w:b w:val="0"/>
          <w:sz w:val="21"/>
        </w:rPr>
        <w:t>Solution: The DPT (Diphtheria, Pertussis, and Tetanus) vaccine should not be frozen, and if frozen, it should be discarded. Vaccines are temperature-sensitive biological products that require proper storage and handling to maintain their efficacy and safety. Freezing the DPT vaccine can denature the antigens and render the vaccine ineffective. Therefore, it is crucial to store the DPT vaccine at the recommended temperature range between 2°C and 8°C (36°F and 46°F). Vaccines should be protected from freezing temperatures, as well as excessive heat, to ensure their potency. Proper vaccine storage and handling guidelines should be followed to maintain the integrity of vaccines and maximize their effectiveness.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food group serves as the richest dietary source of Folic Acid (Vitamin B9)?</w:t>
      </w:r>
    </w:p>
    <w:p>
      <w:pPr>
        <w:spacing w:after="0" w:before="0"/>
      </w:pPr>
      <w:r>
        <w:rPr>
          <w:b w:val="0"/>
          <w:sz w:val="22"/>
        </w:rPr>
        <w:t>(a) Banana</w:t>
      </w:r>
    </w:p>
    <w:p>
      <w:pPr>
        <w:spacing w:after="0" w:before="0"/>
      </w:pPr>
      <w:r>
        <w:rPr>
          <w:b w:val="0"/>
          <w:sz w:val="22"/>
        </w:rPr>
        <w:t>(b) Whole milk</w:t>
      </w:r>
    </w:p>
    <w:p>
      <w:pPr>
        <w:spacing w:after="0" w:before="0"/>
      </w:pPr>
      <w:r>
        <w:rPr>
          <w:b w:val="0"/>
          <w:sz w:val="22"/>
        </w:rPr>
        <w:t>(c) Red meat</w:t>
      </w:r>
    </w:p>
    <w:p>
      <w:pPr>
        <w:spacing w:after="0" w:before="0"/>
      </w:pPr>
      <w:r>
        <w:rPr>
          <w:b w:val="0"/>
          <w:sz w:val="22"/>
        </w:rPr>
        <w:t>(d) Dark green leafy vegetables</w:t>
      </w:r>
    </w:p>
    <w:p>
      <w:pPr>
        <w:spacing w:after="0" w:before="40"/>
      </w:pPr>
      <w:r>
        <w:rPr>
          <w:b/>
          <w:sz w:val="22"/>
        </w:rPr>
        <w:t>Answer: d</w:t>
      </w:r>
    </w:p>
    <w:p>
      <w:pPr>
        <w:spacing w:after="0" w:before="0"/>
      </w:pPr>
      <w:r>
        <w:rPr>
          <w:b w:val="0"/>
          <w:sz w:val="21"/>
        </w:rPr>
        <w:t>Solution: Dark green leafy vegetables (spinach, kale, broccoli), legumes, and liver are the richest natural sources of Folic Acid (Folate).</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