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The leading anatomical part of the fetus closest to the pelvic inlet of the birth canal refers to:</w:t>
      </w:r>
    </w:p>
    <w:p>
      <w:pPr>
        <w:spacing w:after="0" w:before="0"/>
      </w:pPr>
      <w:r>
        <w:rPr>
          <w:b w:val="0"/>
          <w:sz w:val="22"/>
        </w:rPr>
        <w:t>(a) Presentation</w:t>
      </w:r>
    </w:p>
    <w:p>
      <w:pPr>
        <w:spacing w:after="0" w:before="0"/>
      </w:pPr>
      <w:r>
        <w:rPr>
          <w:b w:val="0"/>
          <w:sz w:val="22"/>
        </w:rPr>
        <w:t>(b) Lie</w:t>
      </w:r>
    </w:p>
    <w:p>
      <w:pPr>
        <w:spacing w:after="0" w:before="0"/>
      </w:pPr>
      <w:r>
        <w:rPr>
          <w:b w:val="0"/>
          <w:sz w:val="22"/>
        </w:rPr>
        <w:t>(c) Denominator</w:t>
      </w:r>
    </w:p>
    <w:p>
      <w:pPr>
        <w:spacing w:after="0" w:before="0"/>
      </w:pPr>
      <w:r>
        <w:rPr>
          <w:b w:val="0"/>
          <w:sz w:val="22"/>
        </w:rPr>
        <w:t>(d) Position</w:t>
      </w:r>
    </w:p>
    <w:p>
      <w:pPr>
        <w:spacing w:after="0" w:before="40"/>
      </w:pPr>
      <w:r>
        <w:rPr>
          <w:b/>
          <w:sz w:val="22"/>
        </w:rPr>
        <w:t>Answer: a</w:t>
      </w:r>
    </w:p>
    <w:p>
      <w:pPr>
        <w:spacing w:after="0" w:before="0"/>
      </w:pPr>
      <w:r>
        <w:rPr>
          <w:b w:val="0"/>
          <w:sz w:val="21"/>
        </w:rPr>
        <w:t>Solution: The part of the fetus that lies lowest in the pelvis and leads through the birth canal is the presentation (e.g., cephalic, breech).</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Vaccine that can be freeze and still it does not lose its potency</w:t>
      </w:r>
    </w:p>
    <w:p>
      <w:pPr>
        <w:spacing w:after="0" w:before="0"/>
      </w:pPr>
      <w:r>
        <w:rPr>
          <w:b w:val="0"/>
          <w:sz w:val="22"/>
        </w:rPr>
        <w:t>(a) OPV</w:t>
      </w:r>
    </w:p>
    <w:p>
      <w:pPr>
        <w:spacing w:after="0" w:before="0"/>
      </w:pPr>
      <w:r>
        <w:rPr>
          <w:b w:val="0"/>
          <w:sz w:val="22"/>
        </w:rPr>
        <w:t>(b) DPT</w:t>
      </w:r>
    </w:p>
    <w:p>
      <w:pPr>
        <w:spacing w:after="0" w:before="0"/>
      </w:pPr>
      <w:r>
        <w:rPr>
          <w:b w:val="0"/>
          <w:sz w:val="22"/>
        </w:rPr>
        <w:t>(c) MMR</w:t>
      </w:r>
    </w:p>
    <w:p>
      <w:pPr>
        <w:spacing w:after="0" w:before="0"/>
      </w:pPr>
      <w:r>
        <w:rPr>
          <w:b w:val="0"/>
          <w:sz w:val="22"/>
        </w:rPr>
        <w:t>(d) TT</w:t>
      </w:r>
    </w:p>
    <w:p>
      <w:pPr>
        <w:spacing w:after="0" w:before="40"/>
      </w:pPr>
      <w:r>
        <w:rPr>
          <w:b/>
          <w:sz w:val="22"/>
        </w:rPr>
        <w:t>Answer: c</w:t>
      </w:r>
    </w:p>
    <w:p>
      <w:pPr>
        <w:spacing w:after="0" w:before="0"/>
      </w:pPr>
      <w:r>
        <w:rPr>
          <w:b w:val="0"/>
          <w:sz w:val="21"/>
        </w:rPr>
        <w:t>Solution: MMR is a freeze-dried vaccine that can be frozen without losing potency.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patient presenting the signs and symptoms of persecution, suspiciousness, lack of insight may be having?</w:t>
      </w:r>
    </w:p>
    <w:p>
      <w:pPr>
        <w:spacing w:after="0" w:before="0"/>
      </w:pPr>
      <w:r>
        <w:rPr>
          <w:b w:val="0"/>
          <w:sz w:val="22"/>
        </w:rPr>
        <w:t>(a) Hebephrenic Schizophrenia</w:t>
      </w:r>
    </w:p>
    <w:p>
      <w:pPr>
        <w:spacing w:after="0" w:before="0"/>
      </w:pPr>
      <w:r>
        <w:rPr>
          <w:b w:val="0"/>
          <w:sz w:val="22"/>
        </w:rPr>
        <w:t>(b) Undifferentiated Schizophrenia</w:t>
      </w:r>
    </w:p>
    <w:p>
      <w:pPr>
        <w:spacing w:after="0" w:before="0"/>
      </w:pPr>
      <w:r>
        <w:rPr>
          <w:b w:val="0"/>
          <w:sz w:val="22"/>
        </w:rPr>
        <w:t>(c) Paranoid Schizophrenia</w:t>
      </w:r>
    </w:p>
    <w:p>
      <w:pPr>
        <w:spacing w:after="0" w:before="0"/>
      </w:pPr>
      <w:r>
        <w:rPr>
          <w:b w:val="0"/>
          <w:sz w:val="22"/>
        </w:rPr>
        <w:t>(d) Simple Schizophrenia</w:t>
      </w:r>
    </w:p>
    <w:p>
      <w:pPr>
        <w:spacing w:after="0" w:before="40"/>
      </w:pPr>
      <w:r>
        <w:rPr>
          <w:b/>
          <w:sz w:val="22"/>
        </w:rPr>
        <w:t>Answer: c</w:t>
      </w:r>
    </w:p>
    <w:p>
      <w:pPr>
        <w:spacing w:after="0" w:before="0"/>
      </w:pPr>
      <w:r>
        <w:rPr>
          <w:b w:val="0"/>
          <w:sz w:val="21"/>
        </w:rPr>
        <w:t>Solution: Paranoid schizophrenia is characterized by persecutory delusions, marked suspiciousness and lack of insight, with relatively preserved cognition and affect.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All are true about Febrile seizure in children except</w:t>
      </w:r>
    </w:p>
    <w:p>
      <w:pPr>
        <w:spacing w:after="0" w:before="0"/>
      </w:pPr>
      <w:r>
        <w:rPr>
          <w:b w:val="0"/>
          <w:sz w:val="22"/>
        </w:rPr>
        <w:t>(a) Risk of injury</w:t>
      </w:r>
    </w:p>
    <w:p>
      <w:pPr>
        <w:spacing w:after="0" w:before="0"/>
      </w:pPr>
      <w:r>
        <w:rPr>
          <w:b w:val="0"/>
          <w:sz w:val="22"/>
        </w:rPr>
        <w:t>(b) Cerebral hypoxia is evident</w:t>
      </w:r>
    </w:p>
    <w:p>
      <w:pPr>
        <w:spacing w:after="0" w:before="0"/>
      </w:pPr>
      <w:r>
        <w:rPr>
          <w:b w:val="0"/>
          <w:sz w:val="22"/>
        </w:rPr>
        <w:t>(c) Young age is not a major risk factor</w:t>
      </w:r>
    </w:p>
    <w:p>
      <w:pPr>
        <w:spacing w:after="0" w:before="0"/>
      </w:pPr>
      <w:r>
        <w:rPr>
          <w:b w:val="0"/>
          <w:sz w:val="22"/>
        </w:rPr>
        <w:t>(d) Administer PCM as a part of management of Febrile seizure</w:t>
      </w:r>
    </w:p>
    <w:p>
      <w:pPr>
        <w:spacing w:after="0" w:before="40"/>
      </w:pPr>
      <w:r>
        <w:rPr>
          <w:b/>
          <w:sz w:val="22"/>
        </w:rPr>
        <w:t>Answer: c</w:t>
      </w:r>
    </w:p>
    <w:p>
      <w:pPr>
        <w:spacing w:after="0" w:before="0"/>
      </w:pPr>
      <w:r>
        <w:rPr>
          <w:b w:val="0"/>
          <w:sz w:val="21"/>
        </w:rPr>
        <w:t>Solution: Febrile seizures occur in young children (6 months-5 years); age is a recognised risk factor, so 'young age is not a major risk factor' is the false statement.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bandage techniques is commonly used for ankle injury?</w:t>
      </w:r>
    </w:p>
    <w:p>
      <w:pPr>
        <w:spacing w:after="0" w:before="0"/>
      </w:pPr>
      <w:r>
        <w:rPr>
          <w:b w:val="0"/>
          <w:sz w:val="22"/>
        </w:rPr>
        <w:t>(a) Reverse spiral</w:t>
      </w:r>
    </w:p>
    <w:p>
      <w:pPr>
        <w:spacing w:after="0" w:before="0"/>
      </w:pPr>
      <w:r>
        <w:rPr>
          <w:b w:val="0"/>
          <w:sz w:val="22"/>
        </w:rPr>
        <w:t>(b) Figure of 8 bandage</w:t>
      </w:r>
    </w:p>
    <w:p>
      <w:pPr>
        <w:spacing w:after="0" w:before="0"/>
      </w:pPr>
      <w:r>
        <w:rPr>
          <w:b w:val="0"/>
          <w:sz w:val="22"/>
        </w:rPr>
        <w:t>(c) T-Bandage</w:t>
      </w:r>
    </w:p>
    <w:p>
      <w:pPr>
        <w:spacing w:after="0" w:before="0"/>
      </w:pPr>
      <w:r>
        <w:rPr>
          <w:b w:val="0"/>
          <w:sz w:val="22"/>
        </w:rPr>
        <w:t>(d) Roller Bandage</w:t>
      </w:r>
    </w:p>
    <w:p>
      <w:pPr>
        <w:spacing w:after="0" w:before="40"/>
      </w:pPr>
      <w:r>
        <w:rPr>
          <w:b/>
          <w:sz w:val="22"/>
        </w:rPr>
        <w:t>Answer: b</w:t>
      </w:r>
    </w:p>
    <w:p>
      <w:pPr>
        <w:spacing w:after="0" w:before="0"/>
      </w:pPr>
      <w:r>
        <w:rPr>
          <w:b w:val="0"/>
          <w:sz w:val="21"/>
        </w:rPr>
        <w:t>Solution: The bandage technique commonly used for ankle injury is the figure of 8 bandage (option B). The figure of 8 bandage provides support and stability to the ankle joint by crossing the bandage in a crisscross pattern around the ankle and lower leg, resembling the shape of the number 8. This Dengue NSAID Bandage technique helps to immobilize the ankle, reduce swelling, and provide compression. It is often used for sprains, strains, and minor fractures of the ankle. The figure of 8 bandage is easy to apply and provides a secure fit while allowing for some range of motion.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is the EARLIEST sign of respiratory distress in an infant?</w:t>
      </w:r>
    </w:p>
    <w:p>
      <w:pPr>
        <w:spacing w:after="0" w:before="0"/>
      </w:pPr>
      <w:r>
        <w:rPr>
          <w:b w:val="0"/>
          <w:sz w:val="22"/>
        </w:rPr>
        <w:t>(a) Cyanosis</w:t>
      </w:r>
    </w:p>
    <w:p>
      <w:pPr>
        <w:spacing w:after="0" w:before="0"/>
      </w:pPr>
      <w:r>
        <w:rPr>
          <w:b w:val="0"/>
          <w:sz w:val="22"/>
        </w:rPr>
        <w:t>(b) Bradycardia</w:t>
      </w:r>
    </w:p>
    <w:p>
      <w:pPr>
        <w:spacing w:after="0" w:before="0"/>
      </w:pPr>
      <w:r>
        <w:rPr>
          <w:b w:val="0"/>
          <w:sz w:val="22"/>
        </w:rPr>
        <w:t>(c) Gasping respirations</w:t>
      </w:r>
    </w:p>
    <w:p>
      <w:pPr>
        <w:spacing w:after="0" w:before="0"/>
      </w:pPr>
      <w:r>
        <w:rPr>
          <w:b w:val="0"/>
          <w:sz w:val="22"/>
        </w:rPr>
        <w:t>(d) Nasal flaring</w:t>
      </w:r>
    </w:p>
    <w:p>
      <w:pPr>
        <w:spacing w:after="0" w:before="40"/>
      </w:pPr>
      <w:r>
        <w:rPr>
          <w:b/>
          <w:sz w:val="22"/>
        </w:rPr>
        <w:t>Answer: d</w:t>
      </w:r>
    </w:p>
    <w:p>
      <w:pPr>
        <w:spacing w:after="0" w:before="0"/>
      </w:pPr>
      <w:r>
        <w:rPr>
          <w:b w:val="0"/>
          <w:sz w:val="21"/>
        </w:rPr>
        <w:t>Solution: Nasal flaring, grunting, retractions and tachypnea appear early; cyanosis and bradycardia are late, pre-arrest signs.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psychiatric medication lowers the seizure threshold and requires seizure precautions?</w:t>
      </w:r>
    </w:p>
    <w:p>
      <w:pPr>
        <w:spacing w:after="0" w:before="0"/>
      </w:pPr>
      <w:r>
        <w:rPr>
          <w:b w:val="0"/>
          <w:sz w:val="22"/>
        </w:rPr>
        <w:t>(a) Lithium</w:t>
      </w:r>
    </w:p>
    <w:p>
      <w:pPr>
        <w:spacing w:after="0" w:before="0"/>
      </w:pPr>
      <w:r>
        <w:rPr>
          <w:b w:val="0"/>
          <w:sz w:val="22"/>
        </w:rPr>
        <w:t>(b) Anticonvulsants</w:t>
      </w:r>
    </w:p>
    <w:p>
      <w:pPr>
        <w:spacing w:after="0" w:before="0"/>
      </w:pPr>
      <w:r>
        <w:rPr>
          <w:b w:val="0"/>
          <w:sz w:val="22"/>
        </w:rPr>
        <w:t>(c) Benzodiazepines</w:t>
      </w:r>
    </w:p>
    <w:p>
      <w:pPr>
        <w:spacing w:after="0" w:before="0"/>
      </w:pPr>
      <w:r>
        <w:rPr>
          <w:b w:val="0"/>
          <w:sz w:val="22"/>
        </w:rPr>
        <w:t>(d) Barbiturates</w:t>
      </w:r>
    </w:p>
    <w:p>
      <w:pPr>
        <w:spacing w:after="0" w:before="40"/>
      </w:pPr>
      <w:r>
        <w:rPr>
          <w:b/>
          <w:sz w:val="22"/>
        </w:rPr>
        <w:t>Answer: a</w:t>
      </w:r>
    </w:p>
    <w:p>
      <w:pPr>
        <w:spacing w:after="0" w:before="0"/>
      </w:pPr>
      <w:r>
        <w:rPr>
          <w:b w:val="0"/>
          <w:sz w:val="21"/>
        </w:rPr>
        <w:t>Solution: Lithium carbonate can lower the seizure threshold, especially at toxic serum levels (&gt;1.5 mEq/L) or when combined with antipsychotics.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with a fractured femur suddenly develops dyspnea, chest pain and confusion 48 hours after injury. Which complication should the nurse suspect FIRST?</w:t>
      </w:r>
    </w:p>
    <w:p>
      <w:pPr>
        <w:spacing w:after="0" w:before="0"/>
      </w:pPr>
      <w:r>
        <w:rPr>
          <w:b w:val="0"/>
          <w:sz w:val="22"/>
        </w:rPr>
        <w:t>(a) Fat embolism syndrome</w:t>
      </w:r>
    </w:p>
    <w:p>
      <w:pPr>
        <w:spacing w:after="0" w:before="0"/>
      </w:pPr>
      <w:r>
        <w:rPr>
          <w:b w:val="0"/>
          <w:sz w:val="22"/>
        </w:rPr>
        <w:t>(b) Pulmonary embolism</w:t>
      </w:r>
    </w:p>
    <w:p>
      <w:pPr>
        <w:spacing w:after="0" w:before="0"/>
      </w:pPr>
      <w:r>
        <w:rPr>
          <w:b w:val="0"/>
          <w:sz w:val="22"/>
        </w:rPr>
        <w:t>(c) Hypovolemic shock</w:t>
      </w:r>
    </w:p>
    <w:p>
      <w:pPr>
        <w:spacing w:after="0" w:before="0"/>
      </w:pPr>
      <w:r>
        <w:rPr>
          <w:b w:val="0"/>
          <w:sz w:val="22"/>
        </w:rPr>
        <w:t>(d) Pneumothorax</w:t>
      </w:r>
    </w:p>
    <w:p>
      <w:pPr>
        <w:spacing w:after="0" w:before="40"/>
      </w:pPr>
      <w:r>
        <w:rPr>
          <w:b/>
          <w:sz w:val="22"/>
        </w:rPr>
        <w:t>Answer: a</w:t>
      </w:r>
    </w:p>
    <w:p>
      <w:pPr>
        <w:spacing w:after="0" w:before="0"/>
      </w:pPr>
      <w:r>
        <w:rPr>
          <w:b w:val="0"/>
          <w:sz w:val="21"/>
        </w:rPr>
        <w:t>Solution: Fat embolism, most common after long-bone fractures, classically presents with respiratory distress and confusion 24-72 hours after injury (petechiae over the chest are a hallmark).</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All symptoms occurs in pre-menstrual syndrome (PMS).Except?</w:t>
      </w:r>
    </w:p>
    <w:p>
      <w:pPr>
        <w:spacing w:after="0" w:before="0"/>
      </w:pPr>
      <w:r>
        <w:rPr>
          <w:b w:val="0"/>
          <w:sz w:val="22"/>
        </w:rPr>
        <w:t>(a) Breast tendemess</w:t>
      </w:r>
    </w:p>
    <w:p>
      <w:pPr>
        <w:spacing w:after="0" w:before="0"/>
      </w:pPr>
      <w:r>
        <w:rPr>
          <w:b w:val="0"/>
          <w:sz w:val="22"/>
        </w:rPr>
        <w:t>(b) Constipation</w:t>
      </w:r>
    </w:p>
    <w:p>
      <w:pPr>
        <w:spacing w:after="0" w:before="0"/>
      </w:pPr>
      <w:r>
        <w:rPr>
          <w:b w:val="0"/>
          <w:sz w:val="22"/>
        </w:rPr>
        <w:t>(c) Weight loss</w:t>
      </w:r>
    </w:p>
    <w:p>
      <w:pPr>
        <w:spacing w:after="0" w:before="0"/>
      </w:pPr>
      <w:r>
        <w:rPr>
          <w:b w:val="0"/>
          <w:sz w:val="22"/>
        </w:rPr>
        <w:t>(d) Abdomen Pain &amp; bloating</w:t>
      </w:r>
    </w:p>
    <w:p>
      <w:pPr>
        <w:spacing w:after="0" w:before="40"/>
      </w:pPr>
      <w:r>
        <w:rPr>
          <w:b/>
          <w:sz w:val="22"/>
        </w:rPr>
        <w:t>Answer: c</w:t>
      </w:r>
    </w:p>
    <w:p>
      <w:pPr>
        <w:spacing w:after="0" w:before="0"/>
      </w:pPr>
      <w:r>
        <w:rPr>
          <w:b w:val="0"/>
          <w:sz w:val="21"/>
        </w:rPr>
        <w:t>Solution: Weight loss (option B) is not typically considered a symptom of premenstrual syndrome (PMS). PMS refers to a combination of physical, emotional, and behavioral symptoms that occur in the days or weeks leading up to menstruation in many women. Common symptoms of PMS include bloating, breast tenderness, mood swings, irritability, fatigue, food cravings, and abdominal pain. However, weight loss is not a recognized symptom of PMS. It is important to note that the severity and specific symptoms of PMS can vary among individuals. If someone experiences significant or disruptive symptoms related to their menstrual cycle, it is advisable to consult a healthcare provider for evaluation and management.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with psychotic depression is receiving haloperidol (Haldol). Which of the following side effects is associated with haloperidol?</w:t>
      </w:r>
    </w:p>
    <w:p>
      <w:pPr>
        <w:spacing w:after="0" w:before="0"/>
      </w:pPr>
      <w:r>
        <w:rPr>
          <w:b w:val="0"/>
          <w:sz w:val="22"/>
        </w:rPr>
        <w:t>(a) Cataracts</w:t>
      </w:r>
    </w:p>
    <w:p>
      <w:pPr>
        <w:spacing w:after="0" w:before="0"/>
      </w:pPr>
      <w:r>
        <w:rPr>
          <w:b w:val="0"/>
          <w:sz w:val="22"/>
        </w:rPr>
        <w:t>(b) Diaphoresis</w:t>
      </w:r>
    </w:p>
    <w:p>
      <w:pPr>
        <w:spacing w:after="0" w:before="0"/>
      </w:pPr>
      <w:r>
        <w:rPr>
          <w:b w:val="0"/>
          <w:sz w:val="22"/>
        </w:rPr>
        <w:t>(c) Polyuria</w:t>
      </w:r>
    </w:p>
    <w:p>
      <w:pPr>
        <w:spacing w:after="0" w:before="0"/>
      </w:pPr>
      <w:r>
        <w:rPr>
          <w:b w:val="0"/>
          <w:sz w:val="22"/>
        </w:rPr>
        <w:t>(d) Akathisia</w:t>
      </w:r>
    </w:p>
    <w:p>
      <w:pPr>
        <w:spacing w:after="0" w:before="40"/>
      </w:pPr>
      <w:r>
        <w:rPr>
          <w:b/>
          <w:sz w:val="22"/>
        </w:rPr>
        <w:t>Answer: d</w:t>
      </w:r>
    </w:p>
    <w:p>
      <w:pPr>
        <w:spacing w:after="0" w:before="0"/>
      </w:pPr>
      <w:r>
        <w:rPr>
          <w:b w:val="0"/>
          <w:sz w:val="21"/>
        </w:rPr>
        <w:t>Solution: Akathisia (subjective restlessness with pacing) is an extrapyramidal side effect of haloperidol.</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32 week pregnant woman hospitalized with vaginal discharge, and its fibronectin test positive, what kind of labour does it indicate?</w:t>
      </w:r>
    </w:p>
    <w:p>
      <w:pPr>
        <w:spacing w:after="0" w:before="0"/>
      </w:pPr>
      <w:r>
        <w:rPr>
          <w:b w:val="0"/>
          <w:sz w:val="22"/>
        </w:rPr>
        <w:t>(a) Precipited labour</w:t>
      </w:r>
    </w:p>
    <w:p>
      <w:pPr>
        <w:spacing w:after="0" w:before="0"/>
      </w:pPr>
      <w:r>
        <w:rPr>
          <w:b w:val="0"/>
          <w:sz w:val="22"/>
        </w:rPr>
        <w:t>(b) Post term labour</w:t>
      </w:r>
    </w:p>
    <w:p>
      <w:pPr>
        <w:spacing w:after="0" w:before="0"/>
      </w:pPr>
      <w:r>
        <w:rPr>
          <w:b w:val="0"/>
          <w:sz w:val="22"/>
        </w:rPr>
        <w:t>(c) Preterm labour</w:t>
      </w:r>
    </w:p>
    <w:p>
      <w:pPr>
        <w:spacing w:after="0" w:before="0"/>
      </w:pPr>
      <w:r>
        <w:rPr>
          <w:b w:val="0"/>
          <w:sz w:val="22"/>
        </w:rPr>
        <w:t>(d) Prolong labour</w:t>
      </w:r>
    </w:p>
    <w:p>
      <w:pPr>
        <w:spacing w:after="0" w:before="40"/>
      </w:pPr>
      <w:r>
        <w:rPr>
          <w:b/>
          <w:sz w:val="22"/>
        </w:rPr>
        <w:t>Answer: c</w:t>
      </w:r>
    </w:p>
    <w:p>
      <w:pPr>
        <w:spacing w:after="0" w:before="0"/>
      </w:pPr>
      <w:r>
        <w:rPr>
          <w:b w:val="0"/>
          <w:sz w:val="21"/>
        </w:rPr>
        <w:t>Solution: A positive fetal fibronectin test at 32 weeks indicates a high risk of preterm labour.</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Best described the asepsis of any surgical instrument?</w:t>
      </w:r>
    </w:p>
    <w:p>
      <w:pPr>
        <w:spacing w:after="0" w:before="0"/>
      </w:pPr>
      <w:r>
        <w:rPr>
          <w:b w:val="0"/>
          <w:sz w:val="22"/>
        </w:rPr>
        <w:t>(a) Mopping</w:t>
      </w:r>
    </w:p>
    <w:p>
      <w:pPr>
        <w:spacing w:after="0" w:before="0"/>
      </w:pPr>
      <w:r>
        <w:rPr>
          <w:b w:val="0"/>
          <w:sz w:val="22"/>
        </w:rPr>
        <w:t>(b) Scrubbing</w:t>
      </w:r>
    </w:p>
    <w:p>
      <w:pPr>
        <w:spacing w:after="0" w:before="0"/>
      </w:pPr>
      <w:r>
        <w:rPr>
          <w:b w:val="0"/>
          <w:sz w:val="22"/>
        </w:rPr>
        <w:t>(c) Sterilization</w:t>
      </w:r>
    </w:p>
    <w:p>
      <w:pPr>
        <w:spacing w:after="0" w:before="0"/>
      </w:pPr>
      <w:r>
        <w:rPr>
          <w:b w:val="0"/>
          <w:sz w:val="22"/>
        </w:rPr>
        <w:t>(d) Disinfection</w:t>
      </w:r>
    </w:p>
    <w:p>
      <w:pPr>
        <w:spacing w:after="0" w:before="40"/>
      </w:pPr>
      <w:r>
        <w:rPr>
          <w:b/>
          <w:sz w:val="22"/>
        </w:rPr>
        <w:t>Answer: c</w:t>
      </w:r>
    </w:p>
    <w:p>
      <w:pPr>
        <w:spacing w:after="0" w:before="0"/>
      </w:pPr>
      <w:r>
        <w:rPr>
          <w:b w:val="0"/>
          <w:sz w:val="21"/>
        </w:rPr>
        <w:t>Solution: The complete elimination of all microorganisms, including spores, is the best description of the term sterilization. Sterilization is the process of killing or removing all microorganisms, including bacteria, viruses, fungi, and spores. Sterilization can be achieved by various physical and chemical methods, such as heat, radiation, and chemical disinfectants.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contraceptive method is not recommended during lactation?</w:t>
      </w:r>
    </w:p>
    <w:p>
      <w:pPr>
        <w:spacing w:after="0" w:before="0"/>
      </w:pPr>
      <w:r>
        <w:rPr>
          <w:b w:val="0"/>
          <w:sz w:val="22"/>
        </w:rPr>
        <w:t>(a) Copper T</w:t>
      </w:r>
    </w:p>
    <w:p>
      <w:pPr>
        <w:spacing w:after="0" w:before="0"/>
      </w:pPr>
      <w:r>
        <w:rPr>
          <w:b w:val="0"/>
          <w:sz w:val="22"/>
        </w:rPr>
        <w:t>(b) Minipill</w:t>
      </w:r>
    </w:p>
    <w:p>
      <w:pPr>
        <w:spacing w:after="0" w:before="0"/>
      </w:pPr>
      <w:r>
        <w:rPr>
          <w:b w:val="0"/>
          <w:sz w:val="22"/>
        </w:rPr>
        <w:t>(c) Combined OCP</w:t>
      </w:r>
    </w:p>
    <w:p>
      <w:pPr>
        <w:spacing w:after="0" w:before="0"/>
      </w:pPr>
      <w:r>
        <w:rPr>
          <w:b w:val="0"/>
          <w:sz w:val="22"/>
        </w:rPr>
        <w:t>(d) E-Pill</w:t>
      </w:r>
    </w:p>
    <w:p>
      <w:pPr>
        <w:spacing w:after="0" w:before="40"/>
      </w:pPr>
      <w:r>
        <w:rPr>
          <w:b/>
          <w:sz w:val="22"/>
        </w:rPr>
        <w:t>Answer: c</w:t>
      </w:r>
    </w:p>
    <w:p>
      <w:pPr>
        <w:spacing w:after="0" w:before="0"/>
      </w:pPr>
      <w:r>
        <w:rPr>
          <w:b w:val="0"/>
          <w:sz w:val="21"/>
        </w:rPr>
        <w:t>Solution: Combined oral contraceptive pills (OCPs) are not recommended during lactation (breastfeeding) as they can potentially affect milk production and composition (option D). The hormones in combined OCPs, which contain both estrogen and progestin, may interfere with breastfeeding by reducing milk supply. Estrogen can inhibit the production of prolactin, a hormone responsible for milk production. Therefore, during lactation, other contraceptive methods that are considered safe and compatible with breastfeeding are recommended, such as progestin-only pills.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Where is the global headquarters of the World Health Organization (WHO) situated?</w:t>
      </w:r>
    </w:p>
    <w:p>
      <w:pPr>
        <w:spacing w:after="0" w:before="0"/>
      </w:pPr>
      <w:r>
        <w:rPr>
          <w:b w:val="0"/>
          <w:sz w:val="22"/>
        </w:rPr>
        <w:t>(a) Rome, Italy</w:t>
      </w:r>
    </w:p>
    <w:p>
      <w:pPr>
        <w:spacing w:after="0" w:before="0"/>
      </w:pPr>
      <w:r>
        <w:rPr>
          <w:b w:val="0"/>
          <w:sz w:val="22"/>
        </w:rPr>
        <w:t>(b) Geneva, Switzerland</w:t>
      </w:r>
    </w:p>
    <w:p>
      <w:pPr>
        <w:spacing w:after="0" w:before="0"/>
      </w:pPr>
      <w:r>
        <w:rPr>
          <w:b w:val="0"/>
          <w:sz w:val="22"/>
        </w:rPr>
        <w:t>(c) Paris, France</w:t>
      </w:r>
    </w:p>
    <w:p>
      <w:pPr>
        <w:spacing w:after="0" w:before="0"/>
      </w:pPr>
      <w:r>
        <w:rPr>
          <w:b w:val="0"/>
          <w:sz w:val="22"/>
        </w:rPr>
        <w:t>(d) Washington D.C., USA</w:t>
      </w:r>
    </w:p>
    <w:p>
      <w:pPr>
        <w:spacing w:after="0" w:before="40"/>
      </w:pPr>
      <w:r>
        <w:rPr>
          <w:b/>
          <w:sz w:val="22"/>
        </w:rPr>
        <w:t>Answer: b</w:t>
      </w:r>
    </w:p>
    <w:p>
      <w:pPr>
        <w:spacing w:after="0" w:before="0"/>
      </w:pPr>
      <w:r>
        <w:rPr>
          <w:b w:val="0"/>
          <w:sz w:val="21"/>
        </w:rPr>
        <w:t>Solution: The World Health Organization (WHO) was founded in 1948 and its global headquarters is located in Geneva, Switzerland.</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should be the duration of suctioning to ventilated patients?</w:t>
      </w:r>
    </w:p>
    <w:p>
      <w:pPr>
        <w:spacing w:after="0" w:before="0"/>
      </w:pPr>
      <w:r>
        <w:rPr>
          <w:b w:val="0"/>
          <w:sz w:val="22"/>
        </w:rPr>
        <w:t>(a) 20-25 seconds</w:t>
      </w:r>
    </w:p>
    <w:p>
      <w:pPr>
        <w:spacing w:after="0" w:before="0"/>
      </w:pPr>
      <w:r>
        <w:rPr>
          <w:b w:val="0"/>
          <w:sz w:val="22"/>
        </w:rPr>
        <w:t>(b) 5-10 seconds</w:t>
      </w:r>
    </w:p>
    <w:p>
      <w:pPr>
        <w:spacing w:after="0" w:before="0"/>
      </w:pPr>
      <w:r>
        <w:rPr>
          <w:b w:val="0"/>
          <w:sz w:val="22"/>
        </w:rPr>
        <w:t>(c) 15-20 seconds</w:t>
      </w:r>
    </w:p>
    <w:p>
      <w:pPr>
        <w:spacing w:after="0" w:before="0"/>
      </w:pPr>
      <w:r>
        <w:rPr>
          <w:b w:val="0"/>
          <w:sz w:val="22"/>
        </w:rPr>
        <w:t>(d) 10-15 seconds</w:t>
      </w:r>
    </w:p>
    <w:p>
      <w:pPr>
        <w:spacing w:after="0" w:before="40"/>
      </w:pPr>
      <w:r>
        <w:rPr>
          <w:b/>
          <w:sz w:val="22"/>
        </w:rPr>
        <w:t>Answer: b</w:t>
      </w:r>
    </w:p>
    <w:p>
      <w:pPr>
        <w:spacing w:after="0" w:before="0"/>
      </w:pPr>
      <w:r>
        <w:rPr>
          <w:b w:val="0"/>
          <w:sz w:val="21"/>
        </w:rPr>
        <w:t>Solution: Suctioning in ventilated patients should not exceed 10-15 seconds per pass (usually about 10 seconds) to prevent hypoxia.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What is the permanent method of sterilization in male ?</w:t>
      </w:r>
    </w:p>
    <w:p>
      <w:pPr>
        <w:spacing w:after="0" w:before="0"/>
      </w:pPr>
      <w:r>
        <w:rPr>
          <w:b w:val="0"/>
          <w:sz w:val="22"/>
        </w:rPr>
        <w:t>(a) Hystrectomy</w:t>
      </w:r>
    </w:p>
    <w:p>
      <w:pPr>
        <w:spacing w:after="0" w:before="0"/>
      </w:pPr>
      <w:r>
        <w:rPr>
          <w:b w:val="0"/>
          <w:sz w:val="22"/>
        </w:rPr>
        <w:t>(b) Tubectomy</w:t>
      </w:r>
    </w:p>
    <w:p>
      <w:pPr>
        <w:spacing w:after="0" w:before="0"/>
      </w:pPr>
      <w:r>
        <w:rPr>
          <w:b w:val="0"/>
          <w:sz w:val="22"/>
        </w:rPr>
        <w:t>(c) Barrier method</w:t>
      </w:r>
    </w:p>
    <w:p>
      <w:pPr>
        <w:spacing w:after="0" w:before="0"/>
      </w:pPr>
      <w:r>
        <w:rPr>
          <w:b w:val="0"/>
          <w:sz w:val="22"/>
        </w:rPr>
        <w:t>(d) Vasectomy</w:t>
      </w:r>
    </w:p>
    <w:p>
      <w:pPr>
        <w:spacing w:after="0" w:before="40"/>
      </w:pPr>
      <w:r>
        <w:rPr>
          <w:b/>
          <w:sz w:val="22"/>
        </w:rPr>
        <w:t>Answer: d</w:t>
      </w:r>
    </w:p>
    <w:p>
      <w:pPr>
        <w:spacing w:after="0" w:before="0"/>
      </w:pPr>
      <w:r>
        <w:rPr>
          <w:b w:val="0"/>
          <w:sz w:val="21"/>
        </w:rPr>
        <w:t>Solution: Vasectomy is the permanent surgical method of male sterilisation (excision of a segment of each vas deferens).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with cirrhosis becomes confused, drowsy and develops asterixis. Which nursing action has the highest priority?</w:t>
      </w:r>
    </w:p>
    <w:p>
      <w:pPr>
        <w:spacing w:after="0" w:before="0"/>
      </w:pPr>
      <w:r>
        <w:rPr>
          <w:b w:val="0"/>
          <w:sz w:val="22"/>
        </w:rPr>
        <w:t>(a) Increase dietary sodium intake</w:t>
      </w:r>
    </w:p>
    <w:p>
      <w:pPr>
        <w:spacing w:after="0" w:before="0"/>
      </w:pPr>
      <w:r>
        <w:rPr>
          <w:b w:val="0"/>
          <w:sz w:val="22"/>
        </w:rPr>
        <w:t>(b) Place the client in the supine position</w:t>
      </w:r>
    </w:p>
    <w:p>
      <w:pPr>
        <w:spacing w:after="0" w:before="0"/>
      </w:pPr>
      <w:r>
        <w:rPr>
          <w:b w:val="0"/>
          <w:sz w:val="22"/>
        </w:rPr>
        <w:t>(c) Restrict dietary protein immediately</w:t>
      </w:r>
    </w:p>
    <w:p>
      <w:pPr>
        <w:spacing w:after="0" w:before="0"/>
      </w:pPr>
      <w:r>
        <w:rPr>
          <w:b w:val="0"/>
          <w:sz w:val="22"/>
        </w:rPr>
        <w:t>(d) Prepare to administer lactulose as ordered</w:t>
      </w:r>
    </w:p>
    <w:p>
      <w:pPr>
        <w:spacing w:after="0" w:before="40"/>
      </w:pPr>
      <w:r>
        <w:rPr>
          <w:b/>
          <w:sz w:val="22"/>
        </w:rPr>
        <w:t>Answer: d</w:t>
      </w:r>
    </w:p>
    <w:p>
      <w:pPr>
        <w:spacing w:after="0" w:before="0"/>
      </w:pPr>
      <w:r>
        <w:rPr>
          <w:b w:val="0"/>
          <w:sz w:val="21"/>
        </w:rPr>
        <w:t>Solution: Confusion and asterixis indicate hepatic encephalopathy; lactulose reduces serum ammonia (by trapping it in the gut) and is the priority treatment.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Patient with Anorexia nervosa taking food correctly as per her diet plan, but there was no increase in weight observed. What will be nursing intervention for the above patient?</w:t>
      </w:r>
    </w:p>
    <w:p>
      <w:pPr>
        <w:spacing w:after="0" w:before="0"/>
      </w:pPr>
      <w:r>
        <w:rPr>
          <w:b w:val="0"/>
          <w:sz w:val="22"/>
        </w:rPr>
        <w:t>(a) Observe patient while taking meal and after up to 2 hours</w:t>
      </w:r>
    </w:p>
    <w:p>
      <w:pPr>
        <w:spacing w:after="0" w:before="0"/>
      </w:pPr>
      <w:r>
        <w:rPr>
          <w:b w:val="0"/>
          <w:sz w:val="22"/>
        </w:rPr>
        <w:t>(b) Engage them in other activities</w:t>
      </w:r>
    </w:p>
    <w:p>
      <w:pPr>
        <w:spacing w:after="0" w:before="0"/>
      </w:pPr>
      <w:r>
        <w:rPr>
          <w:b w:val="0"/>
          <w:sz w:val="22"/>
        </w:rPr>
        <w:t>(c) Increase calorie of food from 1500 to 2000</w:t>
      </w:r>
    </w:p>
    <w:p>
      <w:pPr>
        <w:spacing w:after="0" w:before="0"/>
      </w:pPr>
      <w:r>
        <w:rPr>
          <w:b w:val="0"/>
          <w:sz w:val="22"/>
        </w:rPr>
        <w:t>(d) Add vitamin tablet to her medications</w:t>
      </w:r>
    </w:p>
    <w:p>
      <w:pPr>
        <w:spacing w:after="0" w:before="40"/>
      </w:pPr>
      <w:r>
        <w:rPr>
          <w:b/>
          <w:sz w:val="22"/>
        </w:rPr>
        <w:t>Answer: a</w:t>
      </w:r>
    </w:p>
    <w:p>
      <w:pPr>
        <w:spacing w:after="0" w:before="0"/>
      </w:pPr>
      <w:r>
        <w:rPr>
          <w:b w:val="0"/>
          <w:sz w:val="21"/>
        </w:rPr>
        <w:t>Solution: For a patient with anorexia nervosa, the nurse should observe the patient during meals and afterwards to prevent food hiding and purging.</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findings suggests worsening condition or severe symptoms of dengue, excluding others?</w:t>
      </w:r>
    </w:p>
    <w:p>
      <w:pPr>
        <w:spacing w:after="0" w:before="0"/>
      </w:pPr>
      <w:r>
        <w:rPr>
          <w:b w:val="0"/>
          <w:sz w:val="22"/>
        </w:rPr>
        <w:t>(a) Blood in vomit or stool</w:t>
      </w:r>
    </w:p>
    <w:p>
      <w:pPr>
        <w:spacing w:after="0" w:before="0"/>
      </w:pPr>
      <w:r>
        <w:rPr>
          <w:b w:val="0"/>
          <w:sz w:val="22"/>
        </w:rPr>
        <w:t>(b) Severe Abdominal pain</w:t>
      </w:r>
    </w:p>
    <w:p>
      <w:pPr>
        <w:spacing w:after="0" w:before="0"/>
      </w:pPr>
      <w:r>
        <w:rPr>
          <w:b w:val="0"/>
          <w:sz w:val="22"/>
        </w:rPr>
        <w:t>(c) Persistent vomiting</w:t>
      </w:r>
    </w:p>
    <w:p>
      <w:pPr>
        <w:spacing w:after="0" w:before="0"/>
      </w:pPr>
      <w:r>
        <w:rPr>
          <w:b w:val="0"/>
          <w:sz w:val="22"/>
        </w:rPr>
        <w:t>(d) High grade fever</w:t>
      </w:r>
    </w:p>
    <w:p>
      <w:pPr>
        <w:spacing w:after="0" w:before="40"/>
      </w:pPr>
      <w:r>
        <w:rPr>
          <w:b/>
          <w:sz w:val="22"/>
        </w:rPr>
        <w:t>Answer: d</w:t>
      </w:r>
    </w:p>
    <w:p>
      <w:pPr>
        <w:spacing w:after="0" w:before="0"/>
      </w:pPr>
      <w:r>
        <w:rPr>
          <w:b w:val="0"/>
          <w:sz w:val="21"/>
        </w:rPr>
        <w:t>Solution: Warning signs of severe dengue include severe abdominal pain, persistent vomiting, mucosal bleeding (blood in vomit or stool), lethargy and fluid accumulation; high-grade fever alone is a general symptom and is not a warning sign.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laboratory value requires IMMEDIATE notification in a client with chronic kidney disease?</w:t>
      </w:r>
    </w:p>
    <w:p>
      <w:pPr>
        <w:spacing w:after="0" w:before="0"/>
      </w:pPr>
      <w:r>
        <w:rPr>
          <w:b w:val="0"/>
          <w:sz w:val="22"/>
        </w:rPr>
        <w:t>(a) Serum potassium 6.8 mEq/L</w:t>
      </w:r>
    </w:p>
    <w:p>
      <w:pPr>
        <w:spacing w:after="0" w:before="0"/>
      </w:pPr>
      <w:r>
        <w:rPr>
          <w:b w:val="0"/>
          <w:sz w:val="22"/>
        </w:rPr>
        <w:t>(b) Hemoglobin 10.2 g/dL</w:t>
      </w:r>
    </w:p>
    <w:p>
      <w:pPr>
        <w:spacing w:after="0" w:before="0"/>
      </w:pPr>
      <w:r>
        <w:rPr>
          <w:b w:val="0"/>
          <w:sz w:val="22"/>
        </w:rPr>
        <w:t>(c) Serum creatinine 2.4 mg/dL</w:t>
      </w:r>
    </w:p>
    <w:p>
      <w:pPr>
        <w:spacing w:after="0" w:before="0"/>
      </w:pPr>
      <w:r>
        <w:rPr>
          <w:b w:val="0"/>
          <w:sz w:val="22"/>
        </w:rPr>
        <w:t>(d) Blood urea nitrogen 42 mg/dL</w:t>
      </w:r>
    </w:p>
    <w:p>
      <w:pPr>
        <w:spacing w:after="0" w:before="40"/>
      </w:pPr>
      <w:r>
        <w:rPr>
          <w:b/>
          <w:sz w:val="22"/>
        </w:rPr>
        <w:t>Answer: a</w:t>
      </w:r>
    </w:p>
    <w:p>
      <w:pPr>
        <w:spacing w:after="0" w:before="0"/>
      </w:pPr>
      <w:r>
        <w:rPr>
          <w:b w:val="0"/>
          <w:sz w:val="21"/>
        </w:rPr>
        <w:t>Solution: Hyperkalemia (&gt;5.5 mEq/L) can precipitate lethal cardiac dysrhythmias; potassium 6.8 mEq/L is a critical value that must be reported immediately.</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