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A client on DOTS therapy for tuberculosis reports orange-red discoloration of urine. What should the nurse explain?</w:t>
      </w:r>
    </w:p>
    <w:p>
      <w:pPr>
        <w:spacing w:after="0" w:before="0"/>
      </w:pPr>
      <w:r>
        <w:rPr>
          <w:b w:val="0"/>
          <w:sz w:val="22"/>
        </w:rPr>
        <w:t>(a) It indicates liver damage</w:t>
      </w:r>
    </w:p>
    <w:p>
      <w:pPr>
        <w:spacing w:after="0" w:before="0"/>
      </w:pPr>
      <w:r>
        <w:rPr>
          <w:b w:val="0"/>
          <w:sz w:val="22"/>
        </w:rPr>
        <w:t>(b) The client needs a higher dose</w:t>
      </w:r>
    </w:p>
    <w:p>
      <w:pPr>
        <w:spacing w:after="0" w:before="0"/>
      </w:pPr>
      <w:r>
        <w:rPr>
          <w:b w:val="0"/>
          <w:sz w:val="22"/>
        </w:rPr>
        <w:t>(c) It is a harmless side effect of rifampicin and therapy must continue</w:t>
      </w:r>
    </w:p>
    <w:p>
      <w:pPr>
        <w:spacing w:after="0" w:before="0"/>
      </w:pPr>
      <w:r>
        <w:rPr>
          <w:b w:val="0"/>
          <w:sz w:val="22"/>
        </w:rPr>
        <w:t>(d) The drug must be stopped immediately</w:t>
      </w:r>
    </w:p>
    <w:p>
      <w:pPr>
        <w:spacing w:after="0" w:before="40"/>
      </w:pPr>
      <w:r>
        <w:rPr>
          <w:b/>
          <w:sz w:val="22"/>
        </w:rPr>
        <w:t>Answer: c</w:t>
      </w:r>
    </w:p>
    <w:p>
      <w:pPr>
        <w:spacing w:after="0" w:before="0"/>
      </w:pPr>
      <w:r>
        <w:rPr>
          <w:b w:val="0"/>
          <w:sz w:val="21"/>
        </w:rPr>
        <w:t>Solution: Rifampicin harmlessly turns urine (and tears/sweat) orange-red; the client is reassured and adherence continues. Jaundice or hepatitis symptoms, however, require evaluation.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type 1 diabetes mellitus is found unresponsive in bed. What is the nurse's FIRST action?</w:t>
      </w:r>
    </w:p>
    <w:p>
      <w:pPr>
        <w:spacing w:after="0" w:before="0"/>
      </w:pPr>
      <w:r>
        <w:rPr>
          <w:b w:val="0"/>
          <w:sz w:val="22"/>
        </w:rPr>
        <w:t>(a) Administer 50% dextrose IV</w:t>
      </w:r>
    </w:p>
    <w:p>
      <w:pPr>
        <w:spacing w:after="0" w:before="0"/>
      </w:pPr>
      <w:r>
        <w:rPr>
          <w:b w:val="0"/>
          <w:sz w:val="22"/>
        </w:rPr>
        <w:t>(b) Notify the health care provider</w:t>
      </w:r>
    </w:p>
    <w:p>
      <w:pPr>
        <w:spacing w:after="0" w:before="0"/>
      </w:pPr>
      <w:r>
        <w:rPr>
          <w:b w:val="0"/>
          <w:sz w:val="22"/>
        </w:rPr>
        <w:t>(c) Give glucagon IM</w:t>
      </w:r>
    </w:p>
    <w:p>
      <w:pPr>
        <w:spacing w:after="0" w:before="0"/>
      </w:pPr>
      <w:r>
        <w:rPr>
          <w:b w:val="0"/>
          <w:sz w:val="22"/>
        </w:rPr>
        <w:t>(d) Check the blood glucose level</w:t>
      </w:r>
    </w:p>
    <w:p>
      <w:pPr>
        <w:spacing w:after="0" w:before="40"/>
      </w:pPr>
      <w:r>
        <w:rPr>
          <w:b/>
          <w:sz w:val="22"/>
        </w:rPr>
        <w:t>Answer: d</w:t>
      </w:r>
    </w:p>
    <w:p>
      <w:pPr>
        <w:spacing w:after="0" w:before="0"/>
      </w:pPr>
      <w:r>
        <w:rPr>
          <w:b w:val="0"/>
          <w:sz w:val="21"/>
        </w:rPr>
        <w:t>Solution: An unresponsive diabetic client must be assumed hypoglycemic until proven otherwise; the first action is to confirm the blood glucose level before treating.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priority nursing action following a needle stick injury from a HIV-positive patient?</w:t>
      </w:r>
    </w:p>
    <w:p>
      <w:pPr>
        <w:spacing w:after="0" w:before="0"/>
      </w:pPr>
      <w:r>
        <w:rPr>
          <w:b w:val="0"/>
          <w:sz w:val="22"/>
        </w:rPr>
        <w:t>(a) Suck out the blood</w:t>
      </w:r>
    </w:p>
    <w:p>
      <w:pPr>
        <w:spacing w:after="0" w:before="0"/>
      </w:pPr>
      <w:r>
        <w:rPr>
          <w:b w:val="0"/>
          <w:sz w:val="22"/>
        </w:rPr>
        <w:t>(b) Wash immediately with soap and running water</w:t>
      </w:r>
    </w:p>
    <w:p>
      <w:pPr>
        <w:spacing w:after="0" w:before="0"/>
      </w:pPr>
      <w:r>
        <w:rPr>
          <w:b w:val="0"/>
          <w:sz w:val="22"/>
        </w:rPr>
        <w:t>(c) Squeeze out the blood forcefully</w:t>
      </w:r>
    </w:p>
    <w:p>
      <w:pPr>
        <w:spacing w:after="0" w:before="0"/>
      </w:pPr>
      <w:r>
        <w:rPr>
          <w:b w:val="0"/>
          <w:sz w:val="22"/>
        </w:rPr>
        <w:t>(d) Give incision to the injury</w:t>
      </w:r>
    </w:p>
    <w:p>
      <w:pPr>
        <w:spacing w:after="0" w:before="40"/>
      </w:pPr>
      <w:r>
        <w:rPr>
          <w:b/>
          <w:sz w:val="22"/>
        </w:rPr>
        <w:t>Answer: b</w:t>
      </w:r>
    </w:p>
    <w:p>
      <w:pPr>
        <w:spacing w:after="0" w:before="0"/>
      </w:pPr>
      <w:r>
        <w:rPr>
          <w:b w:val="0"/>
          <w:sz w:val="21"/>
        </w:rPr>
        <w:t>Solution: Immediate management of occupational exposure involves washing the affected site thoroughly with soap and running water. Do not scrub or squeeze the wound.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vitamin supplementation gives to pregnant mother for prevention of NTD?</w:t>
      </w:r>
    </w:p>
    <w:p>
      <w:pPr>
        <w:spacing w:after="0" w:before="0"/>
      </w:pPr>
      <w:r>
        <w:rPr>
          <w:b w:val="0"/>
          <w:sz w:val="22"/>
        </w:rPr>
        <w:t>(a) Iron</w:t>
      </w:r>
    </w:p>
    <w:p>
      <w:pPr>
        <w:spacing w:after="0" w:before="0"/>
      </w:pPr>
      <w:r>
        <w:rPr>
          <w:b w:val="0"/>
          <w:sz w:val="22"/>
        </w:rPr>
        <w:t>(b) Folic acid</w:t>
      </w:r>
    </w:p>
    <w:p>
      <w:pPr>
        <w:spacing w:after="0" w:before="0"/>
      </w:pPr>
      <w:r>
        <w:rPr>
          <w:b w:val="0"/>
          <w:sz w:val="22"/>
        </w:rPr>
        <w:t>(c) calcium</w:t>
      </w:r>
    </w:p>
    <w:p>
      <w:pPr>
        <w:spacing w:after="0" w:before="0"/>
      </w:pPr>
      <w:r>
        <w:rPr>
          <w:b w:val="0"/>
          <w:sz w:val="22"/>
        </w:rPr>
        <w:t>(d) Vitamin C</w:t>
      </w:r>
    </w:p>
    <w:p>
      <w:pPr>
        <w:spacing w:after="0" w:before="40"/>
      </w:pPr>
      <w:r>
        <w:rPr>
          <w:b/>
          <w:sz w:val="22"/>
        </w:rPr>
        <w:t>Answer: b</w:t>
      </w:r>
    </w:p>
    <w:p>
      <w:pPr>
        <w:spacing w:after="0" w:before="0"/>
      </w:pPr>
      <w:r>
        <w:rPr>
          <w:b w:val="0"/>
          <w:sz w:val="21"/>
        </w:rPr>
        <w:t>Solution: Folic acid supplementation is given to pregnant mothers for the prevention of neural tube defects (NTDs). Neural tube defects are serious birth defects that affect the development of the brain and spinal cord in the fetus. Folic acid, a B-vitamin, plays a crucial role in neural tube development. Adequate folic acid intake before and during early pregnancy can significantly reduce the risk of NTDs. It is recommended that women of childbearing age consume a daily folic acid supplement of 400 to 800 micrograms to ensure sufficient levels for neural tube formation. Folic acid supplementation is a key component of prenatal care to support healthy fetal development.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reason for polyurea is best defined as:</w:t>
      </w:r>
    </w:p>
    <w:p>
      <w:pPr>
        <w:spacing w:after="0" w:before="0"/>
      </w:pPr>
      <w:r>
        <w:rPr>
          <w:b w:val="0"/>
          <w:sz w:val="22"/>
        </w:rPr>
        <w:t>(a) Diminished ability of the kidneys to concentrate the urine</w:t>
      </w:r>
    </w:p>
    <w:p>
      <w:pPr>
        <w:spacing w:after="0" w:before="0"/>
      </w:pPr>
      <w:r>
        <w:rPr>
          <w:b w:val="0"/>
          <w:sz w:val="22"/>
        </w:rPr>
        <w:t>(b) Dark colored urine</w:t>
      </w:r>
    </w:p>
    <w:p>
      <w:pPr>
        <w:spacing w:after="0" w:before="0"/>
      </w:pPr>
      <w:r>
        <w:rPr>
          <w:b w:val="0"/>
          <w:sz w:val="22"/>
        </w:rPr>
        <w:t>(c) Lack of urine formation</w:t>
      </w:r>
    </w:p>
    <w:p>
      <w:pPr>
        <w:spacing w:after="0" w:before="0"/>
      </w:pPr>
      <w:r>
        <w:rPr>
          <w:b w:val="0"/>
          <w:sz w:val="22"/>
        </w:rPr>
        <w:t>(d) Passing too much urine at night</w:t>
      </w:r>
    </w:p>
    <w:p>
      <w:pPr>
        <w:spacing w:after="0" w:before="40"/>
      </w:pPr>
      <w:r>
        <w:rPr>
          <w:b/>
          <w:sz w:val="22"/>
        </w:rPr>
        <w:t>Answer: a</w:t>
      </w:r>
    </w:p>
    <w:p>
      <w:pPr>
        <w:spacing w:after="0" w:before="0"/>
      </w:pPr>
      <w:r>
        <w:rPr>
          <w:b w:val="0"/>
          <w:sz w:val="21"/>
        </w:rPr>
        <w:t>Solution: Polyuria is best defined as the diminished ability of the kidneys to concentrate urine, producing excessive urine output.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type of catheter is used for intermittent catheterization and is removed immediately after the bladder is emptied?</w:t>
      </w:r>
    </w:p>
    <w:p>
      <w:pPr>
        <w:spacing w:after="0" w:before="0"/>
      </w:pPr>
      <w:r>
        <w:rPr>
          <w:b w:val="0"/>
          <w:sz w:val="22"/>
        </w:rPr>
        <w:t>(a) Straight (Nelaton) catheter</w:t>
      </w:r>
    </w:p>
    <w:p>
      <w:pPr>
        <w:spacing w:after="0" w:before="0"/>
      </w:pPr>
      <w:r>
        <w:rPr>
          <w:b w:val="0"/>
          <w:sz w:val="22"/>
        </w:rPr>
        <w:t>(b) Malecot catheter</w:t>
      </w:r>
    </w:p>
    <w:p>
      <w:pPr>
        <w:spacing w:after="0" w:before="0"/>
      </w:pPr>
      <w:r>
        <w:rPr>
          <w:b w:val="0"/>
          <w:sz w:val="22"/>
        </w:rPr>
        <w:t>(c) Pezzer catheter</w:t>
      </w:r>
    </w:p>
    <w:p>
      <w:pPr>
        <w:spacing w:after="0" w:before="0"/>
      </w:pPr>
      <w:r>
        <w:rPr>
          <w:b w:val="0"/>
          <w:sz w:val="22"/>
        </w:rPr>
        <w:t>(d) Foley catheter</w:t>
      </w:r>
    </w:p>
    <w:p>
      <w:pPr>
        <w:spacing w:after="0" w:before="40"/>
      </w:pPr>
      <w:r>
        <w:rPr>
          <w:b/>
          <w:sz w:val="22"/>
        </w:rPr>
        <w:t>Answer: a</w:t>
      </w:r>
    </w:p>
    <w:p>
      <w:pPr>
        <w:spacing w:after="0" w:before="0"/>
      </w:pPr>
      <w:r>
        <w:rPr>
          <w:b w:val="0"/>
          <w:sz w:val="21"/>
        </w:rPr>
        <w:t>Solution: A straight (Nelaton) catheter is a single-lumen catheter used for intermittent catheterization and is removed once the bladder is drained; a Foley catheter is self-retaining because of its balloon.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initial nursing intervention for a patient who experiences breathing difficulties during a blood transfusion?</w:t>
      </w:r>
    </w:p>
    <w:p>
      <w:pPr>
        <w:spacing w:after="0" w:before="0"/>
      </w:pPr>
      <w:r>
        <w:rPr>
          <w:b w:val="0"/>
          <w:sz w:val="22"/>
        </w:rPr>
        <w:t>(a) Stop the infusion and Inform to the doctor</w:t>
      </w:r>
    </w:p>
    <w:p>
      <w:pPr>
        <w:spacing w:after="0" w:before="0"/>
      </w:pPr>
      <w:r>
        <w:rPr>
          <w:b w:val="0"/>
          <w:sz w:val="22"/>
        </w:rPr>
        <w:t>(b) Continue blood transfusion and give adrenaline</w:t>
      </w:r>
    </w:p>
    <w:p>
      <w:pPr>
        <w:spacing w:after="0" w:before="0"/>
      </w:pPr>
      <w:r>
        <w:rPr>
          <w:b w:val="0"/>
          <w:sz w:val="22"/>
        </w:rPr>
        <w:t>(c) Stop blood transfusion and administer hydrocortisone</w:t>
      </w:r>
    </w:p>
    <w:p>
      <w:pPr>
        <w:spacing w:after="0" w:before="0"/>
      </w:pPr>
      <w:r>
        <w:rPr>
          <w:b w:val="0"/>
          <w:sz w:val="22"/>
        </w:rPr>
        <w:t>(d) Continue blood transfusion and give DOC calcium</w:t>
      </w:r>
    </w:p>
    <w:p>
      <w:pPr>
        <w:spacing w:after="0" w:before="40"/>
      </w:pPr>
      <w:r>
        <w:rPr>
          <w:b/>
          <w:sz w:val="22"/>
        </w:rPr>
        <w:t>Answer: a</w:t>
      </w:r>
    </w:p>
    <w:p>
      <w:pPr>
        <w:spacing w:after="0" w:before="0"/>
      </w:pPr>
      <w:r>
        <w:rPr>
          <w:b w:val="0"/>
          <w:sz w:val="21"/>
        </w:rPr>
        <w:t>Solution: The priority nursing intervention for a patient with breathing difficulties during a blood transfusion is to stop the infusion immediately and inform the physician. This may indicate a transfusion reaction, such as transfusion-associated circulatory overload (TACO) or transfusion-related acute lung injury (TRALI), which requires prompt medical attention. Nurses should also closely monitor the patient's vital signs, maintain a patent airway, and administer supplemental oxygen as necessary.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had a needle stick injury with a hepatitis B infected needle, what is priority nursing action?</w:t>
      </w:r>
    </w:p>
    <w:p>
      <w:pPr>
        <w:spacing w:after="0" w:before="0"/>
      </w:pPr>
      <w:r>
        <w:rPr>
          <w:b w:val="0"/>
          <w:sz w:val="22"/>
        </w:rPr>
        <w:t>(a) Wash puncture site with soap and water</w:t>
      </w:r>
    </w:p>
    <w:p>
      <w:pPr>
        <w:spacing w:after="0" w:before="0"/>
      </w:pPr>
      <w:r>
        <w:rPr>
          <w:b w:val="0"/>
          <w:sz w:val="22"/>
        </w:rPr>
        <w:t>(b) Get a doctor appointment</w:t>
      </w:r>
    </w:p>
    <w:p>
      <w:pPr>
        <w:spacing w:after="0" w:before="0"/>
      </w:pPr>
      <w:r>
        <w:rPr>
          <w:b w:val="0"/>
          <w:sz w:val="22"/>
        </w:rPr>
        <w:t>(c) Collect needle for laboratory check</w:t>
      </w:r>
    </w:p>
    <w:p>
      <w:pPr>
        <w:spacing w:after="0" w:before="0"/>
      </w:pPr>
      <w:r>
        <w:rPr>
          <w:b w:val="0"/>
          <w:sz w:val="22"/>
        </w:rPr>
        <w:t>(d) Start PEP treatment immediately</w:t>
      </w:r>
    </w:p>
    <w:p>
      <w:pPr>
        <w:spacing w:after="0" w:before="40"/>
      </w:pPr>
      <w:r>
        <w:rPr>
          <w:b/>
          <w:sz w:val="22"/>
        </w:rPr>
        <w:t>Answer: a</w:t>
      </w:r>
    </w:p>
    <w:p>
      <w:pPr>
        <w:spacing w:after="0" w:before="0"/>
      </w:pPr>
      <w:r>
        <w:rPr>
          <w:b w:val="0"/>
          <w:sz w:val="21"/>
        </w:rPr>
        <w:t>Solution: After a hepatitis B needle-stick injury, the priority action is to wash the puncture site with soap and water, then report and start PEP.</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mechanically ventilated client has a sudden drop in SpO2 with absent breath sounds on the left side and tracheal deviation to the right. What is the priority action?</w:t>
      </w:r>
    </w:p>
    <w:p>
      <w:pPr>
        <w:spacing w:after="0" w:before="0"/>
      </w:pPr>
      <w:r>
        <w:rPr>
          <w:b w:val="0"/>
          <w:sz w:val="22"/>
        </w:rPr>
        <w:t>(a) Reposition the client and reassess</w:t>
      </w:r>
    </w:p>
    <w:p>
      <w:pPr>
        <w:spacing w:after="0" w:before="0"/>
      </w:pPr>
      <w:r>
        <w:rPr>
          <w:b w:val="0"/>
          <w:sz w:val="22"/>
        </w:rPr>
        <w:t>(b) Increase the FiO2 on the ventilator</w:t>
      </w:r>
    </w:p>
    <w:p>
      <w:pPr>
        <w:spacing w:after="0" w:before="0"/>
      </w:pPr>
      <w:r>
        <w:rPr>
          <w:b w:val="0"/>
          <w:sz w:val="22"/>
        </w:rPr>
        <w:t>(c) Suction the endotracheal tube</w:t>
      </w:r>
    </w:p>
    <w:p>
      <w:pPr>
        <w:spacing w:after="0" w:before="0"/>
      </w:pPr>
      <w:r>
        <w:rPr>
          <w:b w:val="0"/>
          <w:sz w:val="22"/>
        </w:rPr>
        <w:t>(d) Prepare for immediate needle decompression of the left chest</w:t>
      </w:r>
    </w:p>
    <w:p>
      <w:pPr>
        <w:spacing w:after="0" w:before="40"/>
      </w:pPr>
      <w:r>
        <w:rPr>
          <w:b/>
          <w:sz w:val="22"/>
        </w:rPr>
        <w:t>Answer: d</w:t>
      </w:r>
    </w:p>
    <w:p>
      <w:pPr>
        <w:spacing w:after="0" w:before="0"/>
      </w:pPr>
      <w:r>
        <w:rPr>
          <w:b w:val="0"/>
          <w:sz w:val="21"/>
        </w:rPr>
        <w:t>Solution: Tracheal deviation away from the affected side with absent breath sounds indicates tension pneumothorax; immediate needle decompression is life-saving.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a patient receiving IV fluid therapy, swelling, coolness, and pallor around the insertion site indicates</w:t>
      </w:r>
    </w:p>
    <w:p>
      <w:pPr>
        <w:spacing w:after="0" w:before="0"/>
      </w:pPr>
      <w:r>
        <w:rPr>
          <w:b w:val="0"/>
          <w:sz w:val="22"/>
        </w:rPr>
        <w:t>(a) Infection</w:t>
      </w:r>
    </w:p>
    <w:p>
      <w:pPr>
        <w:spacing w:after="0" w:before="0"/>
      </w:pPr>
      <w:r>
        <w:rPr>
          <w:b w:val="0"/>
          <w:sz w:val="22"/>
        </w:rPr>
        <w:t>(b) Phlebitis</w:t>
      </w:r>
    </w:p>
    <w:p>
      <w:pPr>
        <w:spacing w:after="0" w:before="0"/>
      </w:pPr>
      <w:r>
        <w:rPr>
          <w:b w:val="0"/>
          <w:sz w:val="22"/>
        </w:rPr>
        <w:t>(c) Fluid overload</w:t>
      </w:r>
    </w:p>
    <w:p>
      <w:pPr>
        <w:spacing w:after="0" w:before="0"/>
      </w:pPr>
      <w:r>
        <w:rPr>
          <w:b w:val="0"/>
          <w:sz w:val="22"/>
        </w:rPr>
        <w:t>(d) Infiltration</w:t>
      </w:r>
    </w:p>
    <w:p>
      <w:pPr>
        <w:spacing w:after="0" w:before="40"/>
      </w:pPr>
      <w:r>
        <w:rPr>
          <w:b/>
          <w:sz w:val="22"/>
        </w:rPr>
        <w:t>Answer: d</w:t>
      </w:r>
    </w:p>
    <w:p>
      <w:pPr>
        <w:spacing w:after="0" w:before="0"/>
      </w:pPr>
      <w:r>
        <w:rPr>
          <w:b w:val="0"/>
          <w:sz w:val="21"/>
        </w:rPr>
        <w:t>Solution: Infiltration occurs when IV fluid leaks into surrounding subcutaneous tissue, causing localized edema, coolness, tightness, and blanching.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Following VP (Ventriculoperitoneal) shunt surgery in an infant with hydrocephalus, how does the nurse assess for increased ICP?</w:t>
      </w:r>
    </w:p>
    <w:p>
      <w:pPr>
        <w:spacing w:after="0" w:before="0"/>
      </w:pPr>
      <w:r>
        <w:rPr>
          <w:b w:val="0"/>
          <w:sz w:val="22"/>
        </w:rPr>
        <w:t>(a) Palpate anterior fontanelle for fullness/bulging</w:t>
      </w:r>
    </w:p>
    <w:p>
      <w:pPr>
        <w:spacing w:after="0" w:before="0"/>
      </w:pPr>
      <w:r>
        <w:rPr>
          <w:b w:val="0"/>
          <w:sz w:val="22"/>
        </w:rPr>
        <w:t>(b) Check urine output</w:t>
      </w:r>
    </w:p>
    <w:p>
      <w:pPr>
        <w:spacing w:after="0" w:before="0"/>
      </w:pPr>
      <w:r>
        <w:rPr>
          <w:b w:val="0"/>
          <w:sz w:val="22"/>
        </w:rPr>
        <w:t>(c) Assess respiratory rate</w:t>
      </w:r>
    </w:p>
    <w:p>
      <w:pPr>
        <w:spacing w:after="0" w:before="0"/>
      </w:pPr>
      <w:r>
        <w:rPr>
          <w:b w:val="0"/>
          <w:sz w:val="22"/>
        </w:rPr>
        <w:t>(d) Measure blood pressure</w:t>
      </w:r>
    </w:p>
    <w:p>
      <w:pPr>
        <w:spacing w:after="0" w:before="40"/>
      </w:pPr>
      <w:r>
        <w:rPr>
          <w:b/>
          <w:sz w:val="22"/>
        </w:rPr>
        <w:t>Answer: a</w:t>
      </w:r>
    </w:p>
    <w:p>
      <w:pPr>
        <w:spacing w:after="0" w:before="0"/>
      </w:pPr>
      <w:r>
        <w:rPr>
          <w:b w:val="0"/>
          <w:sz w:val="21"/>
        </w:rPr>
        <w:t>Solution: In infants, a tense, bulging anterior fontanelle is the primary physical sign of elevated intracranial pressure (ICP).</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earliest sign of hypocalcemia is:</w:t>
      </w:r>
    </w:p>
    <w:p>
      <w:pPr>
        <w:spacing w:after="0" w:before="0"/>
      </w:pPr>
      <w:r>
        <w:rPr>
          <w:b w:val="0"/>
          <w:sz w:val="22"/>
        </w:rPr>
        <w:t>(a) Weakness</w:t>
      </w:r>
    </w:p>
    <w:p>
      <w:pPr>
        <w:spacing w:after="0" w:before="0"/>
      </w:pPr>
      <w:r>
        <w:rPr>
          <w:b w:val="0"/>
          <w:sz w:val="22"/>
        </w:rPr>
        <w:t>(b) Twitching</w:t>
      </w:r>
    </w:p>
    <w:p>
      <w:pPr>
        <w:spacing w:after="0" w:before="0"/>
      </w:pPr>
      <w:r>
        <w:rPr>
          <w:b w:val="0"/>
          <w:sz w:val="22"/>
        </w:rPr>
        <w:t>(c) Negative Chvostek's sign</w:t>
      </w:r>
    </w:p>
    <w:p>
      <w:pPr>
        <w:spacing w:after="0" w:before="0"/>
      </w:pPr>
      <w:r>
        <w:rPr>
          <w:b w:val="0"/>
          <w:sz w:val="22"/>
        </w:rPr>
        <w:t>(d) Exaggerated DTRs</w:t>
      </w:r>
    </w:p>
    <w:p>
      <w:pPr>
        <w:spacing w:after="0" w:before="40"/>
      </w:pPr>
      <w:r>
        <w:rPr>
          <w:b/>
          <w:sz w:val="22"/>
        </w:rPr>
        <w:t>Answer: b</w:t>
      </w:r>
    </w:p>
    <w:p>
      <w:pPr>
        <w:spacing w:after="0" w:before="0"/>
      </w:pPr>
      <w:r>
        <w:rPr>
          <w:b w:val="0"/>
          <w:sz w:val="21"/>
        </w:rPr>
        <w:t>Solution: Twitching (neuromuscular irritability) is the earliest sign of hypocalcemia.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exercise is considered the safest and most beneficial for low-risk pregnant women?</w:t>
      </w:r>
    </w:p>
    <w:p>
      <w:pPr>
        <w:spacing w:after="0" w:before="0"/>
      </w:pPr>
      <w:r>
        <w:rPr>
          <w:b w:val="0"/>
          <w:sz w:val="22"/>
        </w:rPr>
        <w:t>(a) Competitive racing</w:t>
      </w:r>
    </w:p>
    <w:p>
      <w:pPr>
        <w:spacing w:after="0" w:before="0"/>
      </w:pPr>
      <w:r>
        <w:rPr>
          <w:b w:val="0"/>
          <w:sz w:val="22"/>
        </w:rPr>
        <w:t>(b) Heavy cycling</w:t>
      </w:r>
    </w:p>
    <w:p>
      <w:pPr>
        <w:spacing w:after="0" w:before="0"/>
      </w:pPr>
      <w:r>
        <w:rPr>
          <w:b w:val="0"/>
          <w:sz w:val="22"/>
        </w:rPr>
        <w:t>(c) Football</w:t>
      </w:r>
    </w:p>
    <w:p>
      <w:pPr>
        <w:spacing w:after="0" w:before="0"/>
      </w:pPr>
      <w:r>
        <w:rPr>
          <w:b w:val="0"/>
          <w:sz w:val="22"/>
        </w:rPr>
        <w:t>(d) Swimming and walking</w:t>
      </w:r>
    </w:p>
    <w:p>
      <w:pPr>
        <w:spacing w:after="0" w:before="40"/>
      </w:pPr>
      <w:r>
        <w:rPr>
          <w:b/>
          <w:sz w:val="22"/>
        </w:rPr>
        <w:t>Answer: d</w:t>
      </w:r>
    </w:p>
    <w:p>
      <w:pPr>
        <w:spacing w:after="0" w:before="0"/>
      </w:pPr>
      <w:r>
        <w:rPr>
          <w:b w:val="0"/>
          <w:sz w:val="21"/>
        </w:rPr>
        <w:t>Solution: Swimming provides low-impact cardiovascular exercise, buoyancy supporting joints, and minimal risk of abdominal trauma or falling during pregnancy.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behaviouaral theraphy is effective in treating patient with OCD?</w:t>
      </w:r>
    </w:p>
    <w:p>
      <w:pPr>
        <w:spacing w:after="0" w:before="0"/>
      </w:pPr>
      <w:r>
        <w:rPr>
          <w:b w:val="0"/>
          <w:sz w:val="22"/>
        </w:rPr>
        <w:t>(a) Cognitive behavioural</w:t>
      </w:r>
    </w:p>
    <w:p>
      <w:pPr>
        <w:spacing w:after="0" w:before="0"/>
      </w:pPr>
      <w:r>
        <w:rPr>
          <w:b w:val="0"/>
          <w:sz w:val="22"/>
        </w:rPr>
        <w:t>(b) Aversion theraphy</w:t>
      </w:r>
    </w:p>
    <w:p>
      <w:pPr>
        <w:spacing w:after="0" w:before="0"/>
      </w:pPr>
      <w:r>
        <w:rPr>
          <w:b w:val="0"/>
          <w:sz w:val="22"/>
        </w:rPr>
        <w:t>(c) Psychodynamic</w:t>
      </w:r>
    </w:p>
    <w:p>
      <w:pPr>
        <w:spacing w:after="0" w:before="0"/>
      </w:pPr>
      <w:r>
        <w:rPr>
          <w:b w:val="0"/>
          <w:sz w:val="22"/>
        </w:rPr>
        <w:t>(d) Exposure and response prevention</w:t>
      </w:r>
    </w:p>
    <w:p>
      <w:pPr>
        <w:spacing w:after="0" w:before="40"/>
      </w:pPr>
      <w:r>
        <w:rPr>
          <w:b/>
          <w:sz w:val="22"/>
        </w:rPr>
        <w:t>Answer: d</w:t>
      </w:r>
    </w:p>
    <w:p>
      <w:pPr>
        <w:spacing w:after="0" w:before="0"/>
      </w:pPr>
      <w:r>
        <w:rPr>
          <w:b w:val="0"/>
          <w:sz w:val="21"/>
        </w:rPr>
        <w:t>Solution: Exposure and response prevention (ERP) is the behaviour therapy of choice for obsessive-compulsive disorder.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vitamin is synthesized in the skin on exposure to sunlight?</w:t>
      </w:r>
    </w:p>
    <w:p>
      <w:pPr>
        <w:spacing w:after="0" w:before="0"/>
      </w:pPr>
      <w:r>
        <w:rPr>
          <w:b w:val="0"/>
          <w:sz w:val="22"/>
        </w:rPr>
        <w:t>(a) Vitamin C</w:t>
      </w:r>
    </w:p>
    <w:p>
      <w:pPr>
        <w:spacing w:after="0" w:before="0"/>
      </w:pPr>
      <w:r>
        <w:rPr>
          <w:b w:val="0"/>
          <w:sz w:val="22"/>
        </w:rPr>
        <w:t>(b) Vitamin D</w:t>
      </w:r>
    </w:p>
    <w:p>
      <w:pPr>
        <w:spacing w:after="0" w:before="0"/>
      </w:pPr>
      <w:r>
        <w:rPr>
          <w:b w:val="0"/>
          <w:sz w:val="22"/>
        </w:rPr>
        <w:t>(c) Vitamin A</w:t>
      </w:r>
    </w:p>
    <w:p>
      <w:pPr>
        <w:spacing w:after="0" w:before="0"/>
      </w:pPr>
      <w:r>
        <w:rPr>
          <w:b w:val="0"/>
          <w:sz w:val="22"/>
        </w:rPr>
        <w:t>(d) Vitamin E</w:t>
      </w:r>
    </w:p>
    <w:p>
      <w:pPr>
        <w:spacing w:after="0" w:before="40"/>
      </w:pPr>
      <w:r>
        <w:rPr>
          <w:b/>
          <w:sz w:val="22"/>
        </w:rPr>
        <w:t>Answer: b</w:t>
      </w:r>
    </w:p>
    <w:p>
      <w:pPr>
        <w:spacing w:after="0" w:before="0"/>
      </w:pPr>
      <w:r>
        <w:rPr>
          <w:b w:val="0"/>
          <w:sz w:val="21"/>
        </w:rPr>
        <w:t>Solution: Vitamin D (cholecalciferol) is synthesized in the skin from 7-dehydrocholesterol on exposure to ultraviolet B rays of sunlight.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Identify an example of age-independent anthropometry:</w:t>
      </w:r>
    </w:p>
    <w:p>
      <w:pPr>
        <w:spacing w:after="0" w:before="0"/>
      </w:pPr>
      <w:r>
        <w:rPr>
          <w:b w:val="0"/>
          <w:sz w:val="22"/>
        </w:rPr>
        <w:t>(a) MUAC (Mid-Upper Arm Circumference)</w:t>
      </w:r>
    </w:p>
    <w:p>
      <w:pPr>
        <w:spacing w:after="0" w:before="0"/>
      </w:pPr>
      <w:r>
        <w:rPr>
          <w:b w:val="0"/>
          <w:sz w:val="22"/>
        </w:rPr>
        <w:t>(b) Weight</w:t>
      </w:r>
    </w:p>
    <w:p>
      <w:pPr>
        <w:spacing w:after="0" w:before="0"/>
      </w:pPr>
      <w:r>
        <w:rPr>
          <w:b w:val="0"/>
          <w:sz w:val="22"/>
        </w:rPr>
        <w:t>(c) Head circumference</w:t>
      </w:r>
    </w:p>
    <w:p>
      <w:pPr>
        <w:spacing w:after="0" w:before="0"/>
      </w:pPr>
      <w:r>
        <w:rPr>
          <w:b w:val="0"/>
          <w:sz w:val="22"/>
        </w:rPr>
        <w:t>(d) Chest circumference</w:t>
      </w:r>
    </w:p>
    <w:p>
      <w:pPr>
        <w:spacing w:after="0" w:before="40"/>
      </w:pPr>
      <w:r>
        <w:rPr>
          <w:b/>
          <w:sz w:val="22"/>
        </w:rPr>
        <w:t>Answer: a</w:t>
      </w:r>
    </w:p>
    <w:p>
      <w:pPr>
        <w:spacing w:after="0" w:before="0"/>
      </w:pPr>
      <w:r>
        <w:rPr>
          <w:b w:val="0"/>
          <w:sz w:val="21"/>
        </w:rPr>
        <w:t>Solution: MUAC (mid-upper arm circumference) is the classic age-independent anthropometric indicator of nutritional status, especially for screening acute malnutrition in children aged 6-59 months.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Delirium tremens is most commonly associated with withdrawal from:</w:t>
      </w:r>
    </w:p>
    <w:p>
      <w:pPr>
        <w:spacing w:after="0" w:before="0"/>
      </w:pPr>
      <w:r>
        <w:rPr>
          <w:b w:val="0"/>
          <w:sz w:val="22"/>
        </w:rPr>
        <w:t>(a) Cocaine</w:t>
      </w:r>
    </w:p>
    <w:p>
      <w:pPr>
        <w:spacing w:after="0" w:before="0"/>
      </w:pPr>
      <w:r>
        <w:rPr>
          <w:b w:val="0"/>
          <w:sz w:val="22"/>
        </w:rPr>
        <w:t>(b) Opioids</w:t>
      </w:r>
    </w:p>
    <w:p>
      <w:pPr>
        <w:spacing w:after="0" w:before="0"/>
      </w:pPr>
      <w:r>
        <w:rPr>
          <w:b w:val="0"/>
          <w:sz w:val="22"/>
        </w:rPr>
        <w:t>(c) Alcohol</w:t>
      </w:r>
    </w:p>
    <w:p>
      <w:pPr>
        <w:spacing w:after="0" w:before="0"/>
      </w:pPr>
      <w:r>
        <w:rPr>
          <w:b w:val="0"/>
          <w:sz w:val="22"/>
        </w:rPr>
        <w:t>(d) Benzodiazepines</w:t>
      </w:r>
    </w:p>
    <w:p>
      <w:pPr>
        <w:spacing w:after="0" w:before="40"/>
      </w:pPr>
      <w:r>
        <w:rPr>
          <w:b/>
          <w:sz w:val="22"/>
        </w:rPr>
        <w:t>Answer: c</w:t>
      </w:r>
    </w:p>
    <w:p>
      <w:pPr>
        <w:spacing w:after="0" w:before="0"/>
      </w:pPr>
      <w:r>
        <w:rPr>
          <w:b w:val="0"/>
          <w:sz w:val="21"/>
        </w:rPr>
        <w:t>Solution: Delirium tremens is a severe complication of alcohol withdrawal, with confusion, tremor and hallucinations.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the acronym 'ASHA' (community health worker program in India), what does 'A' stand for?</w:t>
      </w:r>
    </w:p>
    <w:p>
      <w:pPr>
        <w:spacing w:after="0" w:before="0"/>
      </w:pPr>
      <w:r>
        <w:rPr>
          <w:b w:val="0"/>
          <w:sz w:val="22"/>
        </w:rPr>
        <w:t>(a) Actor</w:t>
      </w:r>
    </w:p>
    <w:p>
      <w:pPr>
        <w:spacing w:after="0" w:before="0"/>
      </w:pPr>
      <w:r>
        <w:rPr>
          <w:b w:val="0"/>
          <w:sz w:val="22"/>
        </w:rPr>
        <w:t>(b) Accredited</w:t>
      </w:r>
    </w:p>
    <w:p>
      <w:pPr>
        <w:spacing w:after="0" w:before="0"/>
      </w:pPr>
      <w:r>
        <w:rPr>
          <w:b w:val="0"/>
          <w:sz w:val="22"/>
        </w:rPr>
        <w:t>(c) Accessory</w:t>
      </w:r>
    </w:p>
    <w:p>
      <w:pPr>
        <w:spacing w:after="0" w:before="0"/>
      </w:pPr>
      <w:r>
        <w:rPr>
          <w:b w:val="0"/>
          <w:sz w:val="22"/>
        </w:rPr>
        <w:t>(d) Automated</w:t>
      </w:r>
    </w:p>
    <w:p>
      <w:pPr>
        <w:spacing w:after="0" w:before="40"/>
      </w:pPr>
      <w:r>
        <w:rPr>
          <w:b/>
          <w:sz w:val="22"/>
        </w:rPr>
        <w:t>Answer: b</w:t>
      </w:r>
    </w:p>
    <w:p>
      <w:pPr>
        <w:spacing w:after="0" w:before="0"/>
      </w:pPr>
      <w:r>
        <w:rPr>
          <w:b w:val="0"/>
          <w:sz w:val="21"/>
        </w:rPr>
        <w:t>Solution: ASHA stands for 'Accredited Social Health Activist', instituted under the National Rural Health Mission (NRHM).</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method gives the most reliable confirmation that a nasogastric tube is correctly placed before feeding?</w:t>
      </w:r>
    </w:p>
    <w:p>
      <w:pPr>
        <w:spacing w:after="0" w:before="0"/>
      </w:pPr>
      <w:r>
        <w:rPr>
          <w:b w:val="0"/>
          <w:sz w:val="22"/>
        </w:rPr>
        <w:t>(a) Radiographic (X-ray) confirmation</w:t>
      </w:r>
    </w:p>
    <w:p>
      <w:pPr>
        <w:spacing w:after="0" w:before="0"/>
      </w:pPr>
      <w:r>
        <w:rPr>
          <w:b w:val="0"/>
          <w:sz w:val="22"/>
        </w:rPr>
        <w:t>(b) Auscultating air over the epigastrium</w:t>
      </w:r>
    </w:p>
    <w:p>
      <w:pPr>
        <w:spacing w:after="0" w:before="0"/>
      </w:pPr>
      <w:r>
        <w:rPr>
          <w:b w:val="0"/>
          <w:sz w:val="22"/>
        </w:rPr>
        <w:t>(c) Checking the pH of gastric aspirate</w:t>
      </w:r>
    </w:p>
    <w:p>
      <w:pPr>
        <w:spacing w:after="0" w:before="0"/>
      </w:pPr>
      <w:r>
        <w:rPr>
          <w:b w:val="0"/>
          <w:sz w:val="22"/>
        </w:rPr>
        <w:t>(d) Observing the client swallow without coughing</w:t>
      </w:r>
    </w:p>
    <w:p>
      <w:pPr>
        <w:spacing w:after="0" w:before="40"/>
      </w:pPr>
      <w:r>
        <w:rPr>
          <w:b/>
          <w:sz w:val="22"/>
        </w:rPr>
        <w:t>Answer: a</w:t>
      </w:r>
    </w:p>
    <w:p>
      <w:pPr>
        <w:spacing w:after="0" w:before="0"/>
      </w:pPr>
      <w:r>
        <w:rPr>
          <w:b w:val="0"/>
          <w:sz w:val="21"/>
        </w:rPr>
        <w:t>Solution: X-ray confirmation is the gold standard for NG tube placement; auscultation and pH are adjuncts but are not definitive, especially in high-risk clients.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current name of Aurangabad in Maharashtra? Important scheme (4K)</w:t>
      </w:r>
    </w:p>
    <w:p>
      <w:pPr>
        <w:spacing w:after="0" w:before="0"/>
      </w:pPr>
      <w:r>
        <w:rPr>
          <w:b w:val="0"/>
          <w:sz w:val="22"/>
        </w:rPr>
        <w:t>(a) Dharashiv</w:t>
      </w:r>
    </w:p>
    <w:p>
      <w:pPr>
        <w:spacing w:after="0" w:before="0"/>
      </w:pPr>
      <w:r>
        <w:rPr>
          <w:b w:val="0"/>
          <w:sz w:val="22"/>
        </w:rPr>
        <w:t>(b) Sambhaji Nagar</w:t>
      </w:r>
    </w:p>
    <w:p>
      <w:pPr>
        <w:spacing w:after="0" w:before="0"/>
      </w:pPr>
      <w:r>
        <w:rPr>
          <w:b w:val="0"/>
          <w:sz w:val="22"/>
        </w:rPr>
        <w:t>(c) Osmanabad</w:t>
      </w:r>
    </w:p>
    <w:p>
      <w:pPr>
        <w:spacing w:after="0" w:before="0"/>
      </w:pPr>
      <w:r>
        <w:rPr>
          <w:b w:val="0"/>
          <w:sz w:val="22"/>
        </w:rPr>
        <w:t>(d) Mumbai</w:t>
      </w:r>
    </w:p>
    <w:p>
      <w:pPr>
        <w:spacing w:after="0" w:before="40"/>
      </w:pPr>
      <w:r>
        <w:rPr>
          <w:b/>
          <w:sz w:val="22"/>
        </w:rPr>
        <w:t>Answer: b</w:t>
      </w:r>
    </w:p>
    <w:p>
      <w:pPr>
        <w:spacing w:after="0" w:before="0"/>
      </w:pPr>
      <w:r>
        <w:rPr>
          <w:b w:val="0"/>
          <w:sz w:val="21"/>
        </w:rPr>
        <w:t>Solution: The current name of Aurangabad in Maharashtra is option A, Sambhaji Nagar. Sambhaji Nagar is the new name given to the city of Aurangabad in Maharashtra. The name change was made to honor Sambhaji, the son of the Maratha Empire's founder, Chhatrapati Shivaji Maharaj. Aurangabad was originally named after Mughal emperor Aurangzeb, and the decision to rename the city was part of an effort to recognize and celebrate Maratha history and culture. The name change reflects the cultural and historical significance of Sambhaji and symbolizes the local pride and heritage of Maharashtra.</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