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nurse is going to start the peritoneal dialysis. Which is a first priority action of the nurse?</w:t>
      </w:r>
    </w:p>
    <w:p>
      <w:pPr>
        <w:spacing w:after="0" w:before="0"/>
      </w:pPr>
      <w:r>
        <w:rPr>
          <w:b w:val="0"/>
          <w:sz w:val="22"/>
        </w:rPr>
        <w:t>(a) Auscultate and palpate for bruit and thrill</w:t>
      </w:r>
    </w:p>
    <w:p>
      <w:pPr>
        <w:spacing w:after="0" w:before="0"/>
      </w:pPr>
      <w:r>
        <w:rPr>
          <w:b w:val="0"/>
          <w:sz w:val="22"/>
        </w:rPr>
        <w:t>(b) Apply Foley`s catheter</w:t>
      </w:r>
    </w:p>
    <w:p>
      <w:pPr>
        <w:spacing w:after="0" w:before="0"/>
      </w:pPr>
      <w:r>
        <w:rPr>
          <w:b w:val="0"/>
          <w:sz w:val="22"/>
        </w:rPr>
        <w:t>(c) Warm the dialysate solution</w:t>
      </w:r>
    </w:p>
    <w:p>
      <w:pPr>
        <w:spacing w:after="0" w:before="0"/>
      </w:pPr>
      <w:r>
        <w:rPr>
          <w:b w:val="0"/>
          <w:sz w:val="22"/>
        </w:rPr>
        <w:t>(d) Place the client in left side lying position</w:t>
      </w:r>
    </w:p>
    <w:p>
      <w:pPr>
        <w:spacing w:after="0" w:before="40"/>
      </w:pPr>
      <w:r>
        <w:rPr>
          <w:b/>
          <w:sz w:val="22"/>
        </w:rPr>
        <w:t>Answer: c</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food should be avoided when the patient is on MAOI?</w:t>
      </w:r>
    </w:p>
    <w:p>
      <w:pPr>
        <w:spacing w:after="0" w:before="0"/>
      </w:pPr>
      <w:r>
        <w:rPr>
          <w:b w:val="0"/>
          <w:sz w:val="22"/>
        </w:rPr>
        <w:t>(a) Calcium rich food</w:t>
      </w:r>
    </w:p>
    <w:p>
      <w:pPr>
        <w:spacing w:after="0" w:before="0"/>
      </w:pPr>
      <w:r>
        <w:rPr>
          <w:b w:val="0"/>
          <w:sz w:val="22"/>
        </w:rPr>
        <w:t>(b) Alanine containing food</w:t>
      </w:r>
    </w:p>
    <w:p>
      <w:pPr>
        <w:spacing w:after="0" w:before="0"/>
      </w:pPr>
      <w:r>
        <w:rPr>
          <w:b w:val="0"/>
          <w:sz w:val="22"/>
        </w:rPr>
        <w:t>(c) Tyramine containing food</w:t>
      </w:r>
    </w:p>
    <w:p>
      <w:pPr>
        <w:spacing w:after="0" w:before="0"/>
      </w:pPr>
      <w:r>
        <w:rPr>
          <w:b w:val="0"/>
          <w:sz w:val="22"/>
        </w:rPr>
        <w:t>(d) Gluten rich food</w:t>
      </w:r>
    </w:p>
    <w:p>
      <w:pPr>
        <w:spacing w:after="0" w:before="40"/>
      </w:pPr>
      <w:r>
        <w:rPr>
          <w:b/>
          <w:sz w:val="22"/>
        </w:rPr>
        <w:t>Answer: c</w:t>
      </w:r>
    </w:p>
    <w:p>
      <w:pPr>
        <w:spacing w:after="0" w:before="0"/>
      </w:pPr>
      <w:r>
        <w:rPr>
          <w:b w:val="0"/>
          <w:sz w:val="21"/>
        </w:rPr>
        <w:t>Solution: Patients on MAO inhibitors must avoid tyramine-containing foods (aged cheese, cured meats, fermented foods) to prevent hypertensive crisis.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 female history of 2 previous second trimester abortion present at 22 weeks of gestational with funnelling of cervix and length of cervix 20 mm. Most appropriate management would be?</w:t>
      </w:r>
    </w:p>
    <w:p>
      <w:pPr>
        <w:spacing w:after="0" w:before="0"/>
      </w:pPr>
      <w:r>
        <w:rPr>
          <w:b w:val="0"/>
          <w:sz w:val="22"/>
        </w:rPr>
        <w:t>(a) Apply cervical circlage</w:t>
      </w:r>
    </w:p>
    <w:p>
      <w:pPr>
        <w:spacing w:after="0" w:before="0"/>
      </w:pPr>
      <w:r>
        <w:rPr>
          <w:b w:val="0"/>
          <w:sz w:val="22"/>
        </w:rPr>
        <w:t>(b) Administer dinoprostone and bed rest</w:t>
      </w:r>
    </w:p>
    <w:p>
      <w:pPr>
        <w:spacing w:after="0" w:before="0"/>
      </w:pPr>
      <w:r>
        <w:rPr>
          <w:b w:val="0"/>
          <w:sz w:val="22"/>
        </w:rPr>
        <w:t>(c) Administer misoprostol and bed rest</w:t>
      </w:r>
    </w:p>
    <w:p>
      <w:pPr>
        <w:spacing w:after="0" w:before="0"/>
      </w:pPr>
      <w:r>
        <w:rPr>
          <w:b w:val="0"/>
          <w:sz w:val="22"/>
        </w:rPr>
        <w:t>(d) Apply fothergill stretch</w:t>
      </w:r>
    </w:p>
    <w:p>
      <w:pPr>
        <w:spacing w:after="0" w:before="40"/>
      </w:pPr>
      <w:r>
        <w:rPr>
          <w:b/>
          <w:sz w:val="22"/>
        </w:rPr>
        <w:t>Answer: a</w:t>
      </w:r>
    </w:p>
    <w:p>
      <w:pPr>
        <w:spacing w:after="0" w:before="0"/>
      </w:pPr>
      <w:r>
        <w:rPr>
          <w:b w:val="0"/>
          <w:sz w:val="21"/>
        </w:rPr>
        <w:t>Solution: In a G3 female with a history of 2 previous second-trimester abortions, presenting at 22 weeks of gestation with funneling of the cervix and a cervix length of 20 mm, the most appropriate management would be to apply cervical cerclage (option B). Cervical cerclage is a surgical procedure in which a stitch or suture is placed around the cervix to provide mechanical support and prevent premature cervical dilation. It is indicated in cases of cervical insufficiency, where the cervix is weak and at risk of premature opening. By reinforcing the cervix, cervical cerclage helps prolong the pregnancy and reduce the risk of preterm birth. abortion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active phase of the first stage of labor, the nurse assesses the cervical dilation and documents it as:</w:t>
      </w:r>
    </w:p>
    <w:p>
      <w:pPr>
        <w:spacing w:after="0" w:before="0"/>
      </w:pPr>
      <w:r>
        <w:rPr>
          <w:b w:val="0"/>
          <w:sz w:val="22"/>
        </w:rPr>
        <w:t>(a) 4-7 cm</w:t>
      </w:r>
    </w:p>
    <w:p>
      <w:pPr>
        <w:spacing w:after="0" w:before="0"/>
      </w:pPr>
      <w:r>
        <w:rPr>
          <w:b w:val="0"/>
          <w:sz w:val="22"/>
        </w:rPr>
        <w:t>(b) 2-5 cm</w:t>
      </w:r>
    </w:p>
    <w:p>
      <w:pPr>
        <w:spacing w:after="0" w:before="0"/>
      </w:pPr>
      <w:r>
        <w:rPr>
          <w:b w:val="0"/>
          <w:sz w:val="22"/>
        </w:rPr>
        <w:t>(c) 1-3 cm</w:t>
      </w:r>
    </w:p>
    <w:p>
      <w:pPr>
        <w:spacing w:after="0" w:before="0"/>
      </w:pPr>
      <w:r>
        <w:rPr>
          <w:b w:val="0"/>
          <w:sz w:val="22"/>
        </w:rPr>
        <w:t>(d) 8-10 cm</w:t>
      </w:r>
    </w:p>
    <w:p>
      <w:pPr>
        <w:spacing w:after="0" w:before="40"/>
      </w:pPr>
      <w:r>
        <w:rPr>
          <w:b/>
          <w:sz w:val="22"/>
        </w:rPr>
        <w:t>Answer: a</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Oxytocin is mainly involved in which of the following functions ?</w:t>
      </w:r>
    </w:p>
    <w:p>
      <w:pPr>
        <w:spacing w:after="0" w:before="0"/>
      </w:pPr>
      <w:r>
        <w:rPr>
          <w:b w:val="0"/>
          <w:sz w:val="22"/>
        </w:rPr>
        <w:t>(a) Regulation of blood pressure</w:t>
      </w:r>
    </w:p>
    <w:p>
      <w:pPr>
        <w:spacing w:after="0" w:before="0"/>
      </w:pPr>
      <w:r>
        <w:rPr>
          <w:b w:val="0"/>
          <w:sz w:val="22"/>
        </w:rPr>
        <w:t>(b) Growth and mental ability</w:t>
      </w:r>
    </w:p>
    <w:p>
      <w:pPr>
        <w:spacing w:after="0" w:before="0"/>
      </w:pPr>
      <w:r>
        <w:rPr>
          <w:b w:val="0"/>
          <w:sz w:val="22"/>
        </w:rPr>
        <w:t>(c) Childbirth and lactation</w:t>
      </w:r>
    </w:p>
    <w:p>
      <w:pPr>
        <w:spacing w:after="0" w:before="0"/>
      </w:pPr>
      <w:r>
        <w:rPr>
          <w:b w:val="0"/>
          <w:sz w:val="22"/>
        </w:rPr>
        <w:t>(d) Motor skills</w:t>
      </w:r>
    </w:p>
    <w:p>
      <w:pPr>
        <w:spacing w:after="0" w:before="40"/>
      </w:pPr>
      <w:r>
        <w:rPr>
          <w:b/>
          <w:sz w:val="22"/>
        </w:rPr>
        <w:t>Answer: c</w:t>
      </w:r>
    </w:p>
    <w:p>
      <w:pPr>
        <w:spacing w:after="0" w:before="0"/>
      </w:pPr>
      <w:r>
        <w:rPr>
          <w:b w:val="0"/>
          <w:sz w:val="21"/>
        </w:rPr>
        <w:t>Solution: Oxytocin stimulates uterine contractions during childbirth and milk ejection (let-down) during lactation.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forceps is used to handle sterile instruments and to remove sterile articles from a sterile pack?</w:t>
      </w:r>
    </w:p>
    <w:p>
      <w:pPr>
        <w:spacing w:after="0" w:before="0"/>
      </w:pPr>
      <w:r>
        <w:rPr>
          <w:b w:val="0"/>
          <w:sz w:val="22"/>
        </w:rPr>
        <w:t>(a) Sponge holding forceps</w:t>
      </w:r>
    </w:p>
    <w:p>
      <w:pPr>
        <w:spacing w:after="0" w:before="0"/>
      </w:pPr>
      <w:r>
        <w:rPr>
          <w:b w:val="0"/>
          <w:sz w:val="22"/>
        </w:rPr>
        <w:t>(b) Kelly haemostatic forceps</w:t>
      </w:r>
    </w:p>
    <w:p>
      <w:pPr>
        <w:spacing w:after="0" w:before="0"/>
      </w:pPr>
      <w:r>
        <w:rPr>
          <w:b w:val="0"/>
          <w:sz w:val="22"/>
        </w:rPr>
        <w:t>(c) Magill forceps</w:t>
      </w:r>
    </w:p>
    <w:p>
      <w:pPr>
        <w:spacing w:after="0" w:before="0"/>
      </w:pPr>
      <w:r>
        <w:rPr>
          <w:b w:val="0"/>
          <w:sz w:val="22"/>
        </w:rPr>
        <w:t>(d) Cheatle forceps</w:t>
      </w:r>
    </w:p>
    <w:p>
      <w:pPr>
        <w:spacing w:after="0" w:before="40"/>
      </w:pPr>
      <w:r>
        <w:rPr>
          <w:b/>
          <w:sz w:val="22"/>
        </w:rPr>
        <w:t>Answer: d</w:t>
      </w:r>
    </w:p>
    <w:p>
      <w:pPr>
        <w:spacing w:after="0" w:before="0"/>
      </w:pPr>
      <w:r>
        <w:rPr>
          <w:b w:val="0"/>
          <w:sz w:val="21"/>
        </w:rPr>
        <w:t>Solution: Cheatle forceps are used to handle sterile instruments and lift sterile articles from a sterile drum or package without contaminating them.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injury involving perineal tear but not the anal sphincter is classified as a:</w:t>
      </w:r>
    </w:p>
    <w:p>
      <w:pPr>
        <w:spacing w:after="0" w:before="0"/>
      </w:pPr>
      <w:r>
        <w:rPr>
          <w:b w:val="0"/>
          <w:sz w:val="22"/>
        </w:rPr>
        <w:t>(a) 1st degree</w:t>
      </w:r>
    </w:p>
    <w:p>
      <w:pPr>
        <w:spacing w:after="0" w:before="0"/>
      </w:pPr>
      <w:r>
        <w:rPr>
          <w:b w:val="0"/>
          <w:sz w:val="22"/>
        </w:rPr>
        <w:t>(b) 4th degree</w:t>
      </w:r>
    </w:p>
    <w:p>
      <w:pPr>
        <w:spacing w:after="0" w:before="0"/>
      </w:pPr>
      <w:r>
        <w:rPr>
          <w:b w:val="0"/>
          <w:sz w:val="22"/>
        </w:rPr>
        <w:t>(c) 2nd degree</w:t>
      </w:r>
    </w:p>
    <w:p>
      <w:pPr>
        <w:spacing w:after="0" w:before="0"/>
      </w:pPr>
      <w:r>
        <w:rPr>
          <w:b w:val="0"/>
          <w:sz w:val="22"/>
        </w:rPr>
        <w:t>(d) 3rd degree</w:t>
      </w:r>
    </w:p>
    <w:p>
      <w:pPr>
        <w:spacing w:after="0" w:before="40"/>
      </w:pPr>
      <w:r>
        <w:rPr>
          <w:b/>
          <w:sz w:val="22"/>
        </w:rPr>
        <w:t>Answer: c</w:t>
      </w:r>
    </w:p>
    <w:p>
      <w:pPr>
        <w:spacing w:after="0" w:before="0"/>
      </w:pPr>
      <w:r>
        <w:rPr>
          <w:b w:val="0"/>
          <w:sz w:val="21"/>
        </w:rPr>
        <w:t>Solution: An injury involving perineal tear but not the anal sphincter is classified as a 2nd-degree tear (option B). Perineal tears occur during childbirth and are categorized based on the extent of tissue damage. A 2nd-degree tear involves the perineal muscles and tissues but does not extend to the anal sphincter. It is less severe compared to higher-degree tears, which involve the anal sphincter complex. Proper identification and classification of Perineal teas perineal tears are essential for appropriate management and repair to promote healing and prevent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postpartum hemorrhage?</w:t>
      </w:r>
    </w:p>
    <w:p>
      <w:pPr>
        <w:spacing w:after="0" w:before="0"/>
      </w:pPr>
      <w:r>
        <w:rPr>
          <w:b w:val="0"/>
          <w:sz w:val="22"/>
        </w:rPr>
        <w:t>(a) Atonicity of uterus</w:t>
      </w:r>
    </w:p>
    <w:p>
      <w:pPr>
        <w:spacing w:after="0" w:before="0"/>
      </w:pPr>
      <w:r>
        <w:rPr>
          <w:b w:val="0"/>
          <w:sz w:val="22"/>
        </w:rPr>
        <w:t>(b) Oxytoxics</w:t>
      </w:r>
    </w:p>
    <w:p>
      <w:pPr>
        <w:spacing w:after="0" w:before="0"/>
      </w:pPr>
      <w:r>
        <w:rPr>
          <w:b w:val="0"/>
          <w:sz w:val="22"/>
        </w:rPr>
        <w:t>(c) Trauma</w:t>
      </w:r>
    </w:p>
    <w:p>
      <w:pPr>
        <w:spacing w:after="0" w:before="0"/>
      </w:pPr>
      <w:r>
        <w:rPr>
          <w:b w:val="0"/>
          <w:sz w:val="22"/>
        </w:rPr>
        <w:t>(d) Precipitous labour</w:t>
      </w:r>
    </w:p>
    <w:p>
      <w:pPr>
        <w:spacing w:after="0" w:before="40"/>
      </w:pPr>
      <w:r>
        <w:rPr>
          <w:b/>
          <w:sz w:val="22"/>
        </w:rPr>
        <w:t>Answer: a</w:t>
      </w:r>
    </w:p>
    <w:p>
      <w:pPr>
        <w:spacing w:after="0" w:before="0"/>
      </w:pPr>
      <w:r>
        <w:rPr>
          <w:b w:val="0"/>
          <w:sz w:val="21"/>
        </w:rPr>
        <w:t>Solution: The most common cause of postpartum hemorrhage is atonicity of the uterus (option a). Atonicity refers to the lack of muscle tone or contractions in the uterus following childbirth. It can lead to the inability of the uterus to effectively contract and close off blood vessels, resulting in excessive bleeding. Postpartum hemorrhage is a significant complication that can occur immediately after delivery or within the first 24 hours. Prompt recognition and management of uterine atony are essential to control bleeding and prevent complications. Interventions such as uterine massage, administration of uterotonic medications, and, in severe cases, surgical interventions may be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Constipation</w:t>
      </w:r>
    </w:p>
    <w:p>
      <w:pPr>
        <w:spacing w:after="0" w:before="0"/>
      </w:pPr>
      <w:r>
        <w:rPr>
          <w:b w:val="0"/>
          <w:sz w:val="22"/>
        </w:rPr>
        <w:t>(b) Hyperglycemia</w:t>
      </w:r>
    </w:p>
    <w:p>
      <w:pPr>
        <w:spacing w:after="0" w:before="0"/>
      </w:pPr>
      <w:r>
        <w:rPr>
          <w:b w:val="0"/>
          <w:sz w:val="22"/>
        </w:rPr>
        <w:t>(c) Hyperkalemia only</w:t>
      </w:r>
    </w:p>
    <w:p>
      <w:pPr>
        <w:spacing w:after="0" w:before="0"/>
      </w:pPr>
      <w:r>
        <w:rPr>
          <w:b w:val="0"/>
          <w:sz w:val="22"/>
        </w:rPr>
        <w:t>(d) Hypovolaemic shock</w:t>
      </w:r>
    </w:p>
    <w:p>
      <w:pPr>
        <w:spacing w:after="0" w:before="40"/>
      </w:pPr>
      <w:r>
        <w:rPr>
          <w:b/>
          <w:sz w:val="22"/>
        </w:rPr>
        <w:t>Answer: d</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important nursing action before administering any medication is:</w:t>
      </w:r>
    </w:p>
    <w:p>
      <w:pPr>
        <w:spacing w:after="0" w:before="0"/>
      </w:pPr>
      <w:r>
        <w:rPr>
          <w:b w:val="0"/>
          <w:sz w:val="22"/>
        </w:rPr>
        <w:t>(a) Check the dose</w:t>
      </w:r>
    </w:p>
    <w:p>
      <w:pPr>
        <w:spacing w:after="0" w:before="0"/>
      </w:pPr>
      <w:r>
        <w:rPr>
          <w:b w:val="0"/>
          <w:sz w:val="22"/>
        </w:rPr>
        <w:t>(b) Wash hands</w:t>
      </w:r>
    </w:p>
    <w:p>
      <w:pPr>
        <w:spacing w:after="0" w:before="0"/>
      </w:pPr>
      <w:r>
        <w:rPr>
          <w:b w:val="0"/>
          <w:sz w:val="22"/>
        </w:rPr>
        <w:t>(c) Check the expiry date</w:t>
      </w:r>
    </w:p>
    <w:p>
      <w:pPr>
        <w:spacing w:after="0" w:before="0"/>
      </w:pPr>
      <w:r>
        <w:rPr>
          <w:b w:val="0"/>
          <w:sz w:val="22"/>
        </w:rPr>
        <w:t>(d) Identify the patient correctly</w:t>
      </w:r>
    </w:p>
    <w:p>
      <w:pPr>
        <w:spacing w:after="0" w:before="40"/>
      </w:pPr>
      <w:r>
        <w:rPr>
          <w:b/>
          <w:sz w:val="22"/>
        </w:rPr>
        <w:t>Answer: d</w:t>
      </w:r>
    </w:p>
    <w:p>
      <w:pPr>
        <w:spacing w:after="0" w:before="0"/>
      </w:pPr>
      <w:r>
        <w:rPr>
          <w:b w:val="0"/>
          <w:sz w:val="21"/>
        </w:rPr>
        <w:t>Solution: Correct patient identification (two identifiers) is the first and most vital check before drug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Bone marrow aspiration</w:t>
      </w:r>
    </w:p>
    <w:p>
      <w:pPr>
        <w:spacing w:after="0" w:before="0"/>
      </w:pPr>
      <w:r>
        <w:rPr>
          <w:b w:val="0"/>
          <w:sz w:val="22"/>
        </w:rPr>
        <w:t>(b) Angiography</w:t>
      </w:r>
    </w:p>
    <w:p>
      <w:pPr>
        <w:spacing w:after="0" w:before="0"/>
      </w:pPr>
      <w:r>
        <w:rPr>
          <w:b w:val="0"/>
          <w:sz w:val="22"/>
        </w:rPr>
        <w:t>(c) Venipuncture</w:t>
      </w:r>
    </w:p>
    <w:p>
      <w:pPr>
        <w:spacing w:after="0" w:before="0"/>
      </w:pPr>
      <w:r>
        <w:rPr>
          <w:b w:val="0"/>
          <w:sz w:val="22"/>
        </w:rPr>
        <w:t>(d) Blood culture</w:t>
      </w:r>
    </w:p>
    <w:p>
      <w:pPr>
        <w:spacing w:after="0" w:before="40"/>
      </w:pPr>
      <w:r>
        <w:rPr>
          <w:b/>
          <w:sz w:val="22"/>
        </w:rPr>
        <w:t>Answer: c</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Tilt the head backwards</w:t>
      </w:r>
    </w:p>
    <w:p>
      <w:pPr>
        <w:spacing w:after="0" w:before="0"/>
      </w:pPr>
      <w:r>
        <w:rPr>
          <w:b w:val="0"/>
          <w:sz w:val="22"/>
        </w:rPr>
        <w:t>(b) Apply cold pack to the feet</w:t>
      </w:r>
    </w:p>
    <w:p>
      <w:pPr>
        <w:spacing w:after="0" w:before="0"/>
      </w:pPr>
      <w:r>
        <w:rPr>
          <w:b w:val="0"/>
          <w:sz w:val="22"/>
        </w:rPr>
        <w:t>(c) Insert a cotton plug in the ear</w:t>
      </w:r>
    </w:p>
    <w:p>
      <w:pPr>
        <w:spacing w:after="0" w:before="0"/>
      </w:pPr>
      <w:r>
        <w:rPr>
          <w:b w:val="0"/>
          <w:sz w:val="22"/>
        </w:rPr>
        <w:t>(d) Pinch the nostrils and lean forward</w:t>
      </w:r>
    </w:p>
    <w:p>
      <w:pPr>
        <w:spacing w:after="0" w:before="40"/>
      </w:pPr>
      <w:r>
        <w:rPr>
          <w:b/>
          <w:sz w:val="22"/>
        </w:rPr>
        <w:t>Answer: d</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Oral contraceptive pills (OCP) will be given after how many hours of unprotected sexual intercourse?</w:t>
      </w:r>
    </w:p>
    <w:p>
      <w:pPr>
        <w:spacing w:after="0" w:before="0"/>
      </w:pPr>
      <w:r>
        <w:rPr>
          <w:b w:val="0"/>
          <w:sz w:val="22"/>
        </w:rPr>
        <w:t>(a) Within 12 hours</w:t>
      </w:r>
    </w:p>
    <w:p>
      <w:pPr>
        <w:spacing w:after="0" w:before="0"/>
      </w:pPr>
      <w:r>
        <w:rPr>
          <w:b w:val="0"/>
          <w:sz w:val="22"/>
        </w:rPr>
        <w:t>(b) Within 36 hours</w:t>
      </w:r>
    </w:p>
    <w:p>
      <w:pPr>
        <w:spacing w:after="0" w:before="0"/>
      </w:pPr>
      <w:r>
        <w:rPr>
          <w:b w:val="0"/>
          <w:sz w:val="22"/>
        </w:rPr>
        <w:t>(c) After 96 hours</w:t>
      </w:r>
    </w:p>
    <w:p>
      <w:pPr>
        <w:spacing w:after="0" w:before="0"/>
      </w:pPr>
      <w:r>
        <w:rPr>
          <w:b w:val="0"/>
          <w:sz w:val="22"/>
        </w:rPr>
        <w:t>(d) Within 72 hours</w:t>
      </w:r>
    </w:p>
    <w:p>
      <w:pPr>
        <w:spacing w:after="0" w:before="40"/>
      </w:pPr>
      <w:r>
        <w:rPr>
          <w:b/>
          <w:sz w:val="22"/>
        </w:rPr>
        <w:t>Answer: d</w:t>
      </w:r>
    </w:p>
    <w:p>
      <w:pPr>
        <w:spacing w:after="0" w:before="0"/>
      </w:pPr>
      <w:r>
        <w:rPr>
          <w:b w:val="0"/>
          <w:sz w:val="21"/>
        </w:rPr>
        <w:t>Solution: Levonorgestrel emergency contraceptive pills are most effective when taken within 72 hours of unprotected intercourse.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guidelines, which malnutrition parameter is used at anganwadi centers?</w:t>
      </w:r>
    </w:p>
    <w:p>
      <w:pPr>
        <w:spacing w:after="0" w:before="0"/>
      </w:pPr>
      <w:r>
        <w:rPr>
          <w:b w:val="0"/>
          <w:sz w:val="22"/>
        </w:rPr>
        <w:t>(a) Weight for height</w:t>
      </w:r>
    </w:p>
    <w:p>
      <w:pPr>
        <w:spacing w:after="0" w:before="0"/>
      </w:pPr>
      <w:r>
        <w:rPr>
          <w:b w:val="0"/>
          <w:sz w:val="22"/>
        </w:rPr>
        <w:t>(b) MUAC</w:t>
      </w:r>
    </w:p>
    <w:p>
      <w:pPr>
        <w:spacing w:after="0" w:before="0"/>
      </w:pPr>
      <w:r>
        <w:rPr>
          <w:b w:val="0"/>
          <w:sz w:val="22"/>
        </w:rPr>
        <w:t>(c) Chest circumference</w:t>
      </w:r>
    </w:p>
    <w:p>
      <w:pPr>
        <w:spacing w:after="0" w:before="0"/>
      </w:pPr>
      <w:r>
        <w:rPr>
          <w:b w:val="0"/>
          <w:sz w:val="22"/>
        </w:rPr>
        <w:t>(d) Height for age</w:t>
      </w:r>
    </w:p>
    <w:p>
      <w:pPr>
        <w:spacing w:after="0" w:before="40"/>
      </w:pPr>
      <w:r>
        <w:rPr>
          <w:b/>
          <w:sz w:val="22"/>
        </w:rPr>
        <w:t>Answer: a</w:t>
      </w:r>
    </w:p>
    <w:p>
      <w:pPr>
        <w:spacing w:after="0" w:before="0"/>
      </w:pPr>
      <w:r>
        <w:rPr>
          <w:b w:val="0"/>
          <w:sz w:val="21"/>
        </w:rPr>
        <w:t>Solution: According to WHO guidelines, the malnutrition parameter used at anganwadi centers is weight for height (option a). Anganwadi centers are community-based child care and development centers in India that aim to improve the nutritional status and overall development of children below the age of six. Weight for height, also known as the weight-for-height z-score, is a nutritional indicator that assesses acute malnutrition by comparing a child's weight to their height. It provides information about current malnutrition nutritional status and helps identify children at risk of acute malnutrition who may require targeted interventions and support.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Vomiting</w:t>
      </w:r>
    </w:p>
    <w:p>
      <w:pPr>
        <w:spacing w:after="0" w:before="0"/>
      </w:pPr>
      <w:r>
        <w:rPr>
          <w:b w:val="0"/>
          <w:sz w:val="22"/>
        </w:rPr>
        <w:t>(b) Altered level of consciousness</w:t>
      </w:r>
    </w:p>
    <w:p>
      <w:pPr>
        <w:spacing w:after="0" w:before="0"/>
      </w:pPr>
      <w:r>
        <w:rPr>
          <w:b w:val="0"/>
          <w:sz w:val="22"/>
        </w:rPr>
        <w:t>(c) Papilloedema</w:t>
      </w:r>
    </w:p>
    <w:p>
      <w:pPr>
        <w:spacing w:after="0" w:before="0"/>
      </w:pPr>
      <w:r>
        <w:rPr>
          <w:b w:val="0"/>
          <w:sz w:val="22"/>
        </w:rPr>
        <w:t>(d) Bradycardia</w:t>
      </w:r>
    </w:p>
    <w:p>
      <w:pPr>
        <w:spacing w:after="0" w:before="40"/>
      </w:pPr>
      <w:r>
        <w:rPr>
          <w:b/>
          <w:sz w:val="22"/>
        </w:rPr>
        <w:t>Answer: b</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woman at 38 weeks gestation is diagnosed with eclampsia and is receiving magnesium sulphate therapy. Which parameter should the nursing officer monitor to detect magnesium toxicity?</w:t>
      </w:r>
    </w:p>
    <w:p>
      <w:pPr>
        <w:spacing w:after="0" w:before="0"/>
      </w:pPr>
      <w:r>
        <w:rPr>
          <w:b w:val="0"/>
          <w:sz w:val="22"/>
        </w:rPr>
        <w:t>(a) Blood glucose</w:t>
      </w:r>
    </w:p>
    <w:p>
      <w:pPr>
        <w:spacing w:after="0" w:before="0"/>
      </w:pPr>
      <w:r>
        <w:rPr>
          <w:b w:val="0"/>
          <w:sz w:val="22"/>
        </w:rPr>
        <w:t>(b) Temperature</w:t>
      </w:r>
    </w:p>
    <w:p>
      <w:pPr>
        <w:spacing w:after="0" w:before="0"/>
      </w:pPr>
      <w:r>
        <w:rPr>
          <w:b w:val="0"/>
          <w:sz w:val="22"/>
        </w:rPr>
        <w:t>(c) Deep tendon reflexes</w:t>
      </w:r>
    </w:p>
    <w:p>
      <w:pPr>
        <w:spacing w:after="0" w:before="0"/>
      </w:pPr>
      <w:r>
        <w:rPr>
          <w:b w:val="0"/>
          <w:sz w:val="22"/>
        </w:rPr>
        <w:t>(d) Haemoglobin level</w:t>
      </w:r>
    </w:p>
    <w:p>
      <w:pPr>
        <w:spacing w:after="0" w:before="40"/>
      </w:pPr>
      <w:r>
        <w:rPr>
          <w:b/>
          <w:sz w:val="22"/>
        </w:rPr>
        <w:t>Answer: c</w:t>
      </w:r>
    </w:p>
    <w:p>
      <w:pPr>
        <w:spacing w:after="0" w:before="0"/>
      </w:pPr>
      <w:r>
        <w:rPr>
          <w:b w:val="0"/>
          <w:sz w:val="21"/>
        </w:rPr>
        <w:t>Solution: Magnesium sulphate can cause hypermagnesaemia; the nurse monitors deep tendon reflexes (which disappear first), respirations and urine output to detect toxicity.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is not typically used in the treatment of acute suicidal ideation or behavior?</w:t>
      </w:r>
    </w:p>
    <w:p>
      <w:pPr>
        <w:spacing w:after="0" w:before="0"/>
      </w:pPr>
      <w:r>
        <w:rPr>
          <w:b w:val="0"/>
          <w:sz w:val="22"/>
        </w:rPr>
        <w:t>(a) Lithium</w:t>
      </w:r>
    </w:p>
    <w:p>
      <w:pPr>
        <w:spacing w:after="0" w:before="0"/>
      </w:pPr>
      <w:r>
        <w:rPr>
          <w:b w:val="0"/>
          <w:sz w:val="22"/>
        </w:rPr>
        <w:t>(b) Clozapine</w:t>
      </w:r>
    </w:p>
    <w:p>
      <w:pPr>
        <w:spacing w:after="0" w:before="0"/>
      </w:pPr>
      <w:r>
        <w:rPr>
          <w:b w:val="0"/>
          <w:sz w:val="22"/>
        </w:rPr>
        <w:t>(c) Ketamine</w:t>
      </w:r>
    </w:p>
    <w:p>
      <w:pPr>
        <w:spacing w:after="0" w:before="0"/>
      </w:pPr>
      <w:r>
        <w:rPr>
          <w:b w:val="0"/>
          <w:sz w:val="22"/>
        </w:rPr>
        <w:t>(d) ECT</w:t>
      </w:r>
    </w:p>
    <w:p>
      <w:pPr>
        <w:spacing w:after="0" w:before="40"/>
      </w:pPr>
      <w:r>
        <w:rPr>
          <w:b/>
          <w:sz w:val="22"/>
        </w:rPr>
        <w:t>Answer: c</w:t>
      </w:r>
    </w:p>
    <w:p>
      <w:pPr>
        <w:spacing w:after="0" w:before="0"/>
      </w:pPr>
      <w:r>
        <w:rPr>
          <w:b w:val="0"/>
          <w:sz w:val="21"/>
        </w:rPr>
        <w:t>Solution: Ketamine is not typically used in the treatment of acute suicidal ideation or behavior. While ketamine has been used off-label for the treatment of depression and suicidal ideation, there is limited evidence to support its use in this context. Lithium, electroconvulsive therapy (ECT), and clozapine are all treatments that may be used in the management of acute suicidal ideation or behavior.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17-year-old female primigravida comes to the hospital who takes iron tablets sporadically but she says she took a very iron-rich diet at home. What should the nursing officer suggest she take along with?</w:t>
      </w:r>
    </w:p>
    <w:p>
      <w:pPr>
        <w:spacing w:after="0" w:before="0"/>
      </w:pPr>
      <w:r>
        <w:rPr>
          <w:b w:val="0"/>
          <w:sz w:val="22"/>
        </w:rPr>
        <w:t>(a) Vitamin-A</w:t>
      </w:r>
    </w:p>
    <w:p>
      <w:pPr>
        <w:spacing w:after="0" w:before="0"/>
      </w:pPr>
      <w:r>
        <w:rPr>
          <w:b w:val="0"/>
          <w:sz w:val="22"/>
        </w:rPr>
        <w:t>(b) Vitamin-D</w:t>
      </w:r>
    </w:p>
    <w:p>
      <w:pPr>
        <w:spacing w:after="0" w:before="0"/>
      </w:pPr>
      <w:r>
        <w:rPr>
          <w:b w:val="0"/>
          <w:sz w:val="22"/>
        </w:rPr>
        <w:t>(c) Folic Acid</w:t>
      </w:r>
    </w:p>
    <w:p>
      <w:pPr>
        <w:spacing w:after="0" w:before="0"/>
      </w:pPr>
      <w:r>
        <w:rPr>
          <w:b w:val="0"/>
          <w:sz w:val="22"/>
        </w:rPr>
        <w:t>(d) Vitamin C</w:t>
      </w:r>
    </w:p>
    <w:p>
      <w:pPr>
        <w:spacing w:after="0" w:before="40"/>
      </w:pPr>
      <w:r>
        <w:rPr>
          <w:b/>
          <w:sz w:val="22"/>
        </w:rPr>
        <w:t>Answer: c</w:t>
      </w:r>
    </w:p>
    <w:p>
      <w:pPr>
        <w:spacing w:after="0" w:before="0"/>
      </w:pPr>
      <w:r>
        <w:rPr>
          <w:b w:val="0"/>
          <w:sz w:val="21"/>
        </w:rPr>
        <w:t>Solution: The nursing officer should suggest that the 17-year-old female primigravida take folic acid along with her sporadic iron intake and iron-rich diet. Folic acid is an essential nutrient during pregnancy as it plays a crucial role in the development of the neural tube in the fetus and helps prevent neural Follic aid Nutrition) critamins / tube defects. While iron is important for addressing anemia and supporting healthy blood production, folic acid is specifically recommended for pregnant women to ensure proper fetal development. It is advisable for the primigravida to take folic acid supplements regularly as prescribed by her healthcare provider to meet the increased demands during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Hand washing</w:t>
      </w:r>
    </w:p>
    <w:p>
      <w:pPr>
        <w:spacing w:after="0" w:before="0"/>
      </w:pPr>
      <w:r>
        <w:rPr>
          <w:b w:val="0"/>
          <w:sz w:val="22"/>
        </w:rPr>
        <w:t>(b) Avoid crowded place</w:t>
      </w:r>
    </w:p>
    <w:p>
      <w:pPr>
        <w:spacing w:after="0" w:before="0"/>
      </w:pPr>
      <w:r>
        <w:rPr>
          <w:b w:val="0"/>
          <w:sz w:val="22"/>
        </w:rPr>
        <w:t>(c) Brush two times</w:t>
      </w:r>
    </w:p>
    <w:p>
      <w:pPr>
        <w:spacing w:after="0" w:before="0"/>
      </w:pPr>
      <w:r>
        <w:rPr>
          <w:b w:val="0"/>
          <w:sz w:val="22"/>
        </w:rPr>
        <w:t>(d) Sitz bath</w:t>
      </w:r>
    </w:p>
    <w:p>
      <w:pPr>
        <w:spacing w:after="0" w:before="40"/>
      </w:pPr>
      <w:r>
        <w:rPr>
          <w:b/>
          <w:sz w:val="22"/>
        </w:rPr>
        <w:t>Answer: d</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client's cardiac monitor shows new-onset atrial fibrillation with a ventricular rate of 150 beats/min. Which assessment is the nurse's priority?</w:t>
      </w:r>
    </w:p>
    <w:p>
      <w:pPr>
        <w:spacing w:after="0" w:before="0"/>
      </w:pPr>
      <w:r>
        <w:rPr>
          <w:b w:val="0"/>
          <w:sz w:val="22"/>
        </w:rPr>
        <w:t>(a) Deep tendon reflexes</w:t>
      </w:r>
    </w:p>
    <w:p>
      <w:pPr>
        <w:spacing w:after="0" w:before="0"/>
      </w:pPr>
      <w:r>
        <w:rPr>
          <w:b w:val="0"/>
          <w:sz w:val="22"/>
        </w:rPr>
        <w:t>(b) Level of consciousness and blood pressure</w:t>
      </w:r>
    </w:p>
    <w:p>
      <w:pPr>
        <w:spacing w:after="0" w:before="0"/>
      </w:pPr>
      <w:r>
        <w:rPr>
          <w:b w:val="0"/>
          <w:sz w:val="22"/>
        </w:rPr>
        <w:t>(c) Peripheral pulses and skin color</w:t>
      </w:r>
    </w:p>
    <w:p>
      <w:pPr>
        <w:spacing w:after="0" w:before="0"/>
      </w:pPr>
      <w:r>
        <w:rPr>
          <w:b w:val="0"/>
          <w:sz w:val="22"/>
        </w:rPr>
        <w:t>(d) Hourly urine output</w:t>
      </w:r>
    </w:p>
    <w:p>
      <w:pPr>
        <w:spacing w:after="0" w:before="40"/>
      </w:pPr>
      <w:r>
        <w:rPr>
          <w:b/>
          <w:sz w:val="22"/>
        </w:rPr>
        <w:t>Answer: b</w:t>
      </w:r>
    </w:p>
    <w:p>
      <w:pPr>
        <w:spacing w:after="0" w:before="0"/>
      </w:pPr>
      <w:r>
        <w:rPr>
          <w:b w:val="0"/>
          <w:sz w:val="21"/>
        </w:rPr>
        <w:t>Solution: Rapid atrial fibrillation can cause hemodynamic compromise; the priority is to evaluate cerebral perfusion (level of consciousness) and blood pressure for instability.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