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client with a fractured femur suddenly develops dyspnea, chest pain and confusion 48 hours after injury. Which complication should the nurse suspect FIRST?</w:t>
      </w:r>
    </w:p>
    <w:p>
      <w:pPr>
        <w:spacing w:after="0" w:before="0"/>
      </w:pPr>
      <w:r>
        <w:rPr>
          <w:b w:val="0"/>
          <w:sz w:val="22"/>
        </w:rPr>
        <w:t>(a) Pulmonary embolism</w:t>
      </w:r>
    </w:p>
    <w:p>
      <w:pPr>
        <w:spacing w:after="0" w:before="0"/>
      </w:pPr>
      <w:r>
        <w:rPr>
          <w:b w:val="0"/>
          <w:sz w:val="22"/>
        </w:rPr>
        <w:t>(b) Hypovolemic shock</w:t>
      </w:r>
    </w:p>
    <w:p>
      <w:pPr>
        <w:spacing w:after="0" w:before="0"/>
      </w:pPr>
      <w:r>
        <w:rPr>
          <w:b w:val="0"/>
          <w:sz w:val="22"/>
        </w:rPr>
        <w:t>(c) Pneumothorax</w:t>
      </w:r>
    </w:p>
    <w:p>
      <w:pPr>
        <w:spacing w:after="0" w:before="0"/>
      </w:pPr>
      <w:r>
        <w:rPr>
          <w:b w:val="0"/>
          <w:sz w:val="22"/>
        </w:rPr>
        <w:t>(d) Fat embolism syndrome</w:t>
      </w:r>
    </w:p>
    <w:p>
      <w:pPr>
        <w:spacing w:after="0" w:before="40"/>
      </w:pPr>
      <w:r>
        <w:rPr>
          <w:b/>
          <w:sz w:val="22"/>
        </w:rPr>
        <w:t>Answer: d</w:t>
      </w:r>
    </w:p>
    <w:p>
      <w:pPr>
        <w:spacing w:after="0" w:before="0"/>
      </w:pPr>
      <w:r>
        <w:rPr>
          <w:b w:val="0"/>
          <w:sz w:val="21"/>
        </w:rPr>
        <w:t>Solution: Fat embolism, most common after long-bone fractures, classically presents with respiratory distress and confusion 24-72 hours after injury (petechiae over the chest are a hallmark).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burn patient with 30% TBSA burns in the first 24 hours should be monitored most closely for:</w:t>
      </w:r>
    </w:p>
    <w:p>
      <w:pPr>
        <w:spacing w:after="0" w:before="0"/>
      </w:pPr>
      <w:r>
        <w:rPr>
          <w:b w:val="0"/>
          <w:sz w:val="22"/>
        </w:rPr>
        <w:t>(a) Hyperkalemia only</w:t>
      </w:r>
    </w:p>
    <w:p>
      <w:pPr>
        <w:spacing w:after="0" w:before="0"/>
      </w:pPr>
      <w:r>
        <w:rPr>
          <w:b w:val="0"/>
          <w:sz w:val="22"/>
        </w:rPr>
        <w:t>(b) Constipation</w:t>
      </w:r>
    </w:p>
    <w:p>
      <w:pPr>
        <w:spacing w:after="0" w:before="0"/>
      </w:pPr>
      <w:r>
        <w:rPr>
          <w:b w:val="0"/>
          <w:sz w:val="22"/>
        </w:rPr>
        <w:t>(c) Hyperglycemia</w:t>
      </w:r>
    </w:p>
    <w:p>
      <w:pPr>
        <w:spacing w:after="0" w:before="0"/>
      </w:pPr>
      <w:r>
        <w:rPr>
          <w:b w:val="0"/>
          <w:sz w:val="22"/>
        </w:rPr>
        <w:t>(d) Hypovolaemic shock</w:t>
      </w:r>
    </w:p>
    <w:p>
      <w:pPr>
        <w:spacing w:after="0" w:before="40"/>
      </w:pPr>
      <w:r>
        <w:rPr>
          <w:b/>
          <w:sz w:val="22"/>
        </w:rPr>
        <w:t>Answer: d</w:t>
      </w:r>
    </w:p>
    <w:p>
      <w:pPr>
        <w:spacing w:after="0" w:before="0"/>
      </w:pPr>
      <w:r>
        <w:rPr>
          <w:b w:val="0"/>
          <w:sz w:val="21"/>
        </w:rPr>
        <w:t>Solution: Fluid shift from the intravascular compartment causes hypovolaemic shock in the first 24-48 hours after burns.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assessment finding is the EARLIEST indicator of compartment syndrome in a client with a fractured tibia?</w:t>
      </w:r>
    </w:p>
    <w:p>
      <w:pPr>
        <w:spacing w:after="0" w:before="0"/>
      </w:pPr>
      <w:r>
        <w:rPr>
          <w:b w:val="0"/>
          <w:sz w:val="22"/>
        </w:rPr>
        <w:t>(a) Cool, cyanotic toes</w:t>
      </w:r>
    </w:p>
    <w:p>
      <w:pPr>
        <w:spacing w:after="0" w:before="0"/>
      </w:pPr>
      <w:r>
        <w:rPr>
          <w:b w:val="0"/>
          <w:sz w:val="22"/>
        </w:rPr>
        <w:t>(b) Pain out of proportion that increases with passive stretch</w:t>
      </w:r>
    </w:p>
    <w:p>
      <w:pPr>
        <w:spacing w:after="0" w:before="0"/>
      </w:pPr>
      <w:r>
        <w:rPr>
          <w:b w:val="0"/>
          <w:sz w:val="22"/>
        </w:rPr>
        <w:t>(c) Capillary refill of 5 seconds</w:t>
      </w:r>
    </w:p>
    <w:p>
      <w:pPr>
        <w:spacing w:after="0" w:before="0"/>
      </w:pPr>
      <w:r>
        <w:rPr>
          <w:b w:val="0"/>
          <w:sz w:val="22"/>
        </w:rPr>
        <w:t>(d) Absent pedal pulse</w:t>
      </w:r>
    </w:p>
    <w:p>
      <w:pPr>
        <w:spacing w:after="0" w:before="40"/>
      </w:pPr>
      <w:r>
        <w:rPr>
          <w:b/>
          <w:sz w:val="22"/>
        </w:rPr>
        <w:t>Answer: b</w:t>
      </w:r>
    </w:p>
    <w:p>
      <w:pPr>
        <w:spacing w:after="0" w:before="0"/>
      </w:pPr>
      <w:r>
        <w:rPr>
          <w:b w:val="0"/>
          <w:sz w:val="21"/>
        </w:rPr>
        <w:t>Solution: Severe pain worsened by passive stretching is the earliest sign of compartment syndrome; pallor and absent pulses are late findings that appear after irreversible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Before suturing at the end of an open abdominal surgery, what is the mandatory priority action for the scrub nurse?</w:t>
      </w:r>
    </w:p>
    <w:p>
      <w:pPr>
        <w:spacing w:after="0" w:before="0"/>
      </w:pPr>
      <w:r>
        <w:rPr>
          <w:b w:val="0"/>
          <w:sz w:val="22"/>
        </w:rPr>
        <w:t>(a) Clean instruments</w:t>
      </w:r>
    </w:p>
    <w:p>
      <w:pPr>
        <w:spacing w:after="0" w:before="0"/>
      </w:pPr>
      <w:r>
        <w:rPr>
          <w:b w:val="0"/>
          <w:sz w:val="22"/>
        </w:rPr>
        <w:t>(b) Perform complete sponge, needle, and instrument count with circulator</w:t>
      </w:r>
    </w:p>
    <w:p>
      <w:pPr>
        <w:spacing w:after="0" w:before="0"/>
      </w:pPr>
      <w:r>
        <w:rPr>
          <w:b w:val="0"/>
          <w:sz w:val="22"/>
        </w:rPr>
        <w:t>(c) Change surgical gown</w:t>
      </w:r>
    </w:p>
    <w:p>
      <w:pPr>
        <w:spacing w:after="0" w:before="0"/>
      </w:pPr>
      <w:r>
        <w:rPr>
          <w:b w:val="0"/>
          <w:sz w:val="22"/>
        </w:rPr>
        <w:t>(d) Disinfection of OT room</w:t>
      </w:r>
    </w:p>
    <w:p>
      <w:pPr>
        <w:spacing w:after="0" w:before="40"/>
      </w:pPr>
      <w:r>
        <w:rPr>
          <w:b/>
          <w:sz w:val="22"/>
        </w:rPr>
        <w:t>Answer: b</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absolute contraindication for liver biopsy in children? Live Biopsy in children</w:t>
      </w:r>
    </w:p>
    <w:p>
      <w:pPr>
        <w:spacing w:after="0" w:before="0"/>
      </w:pPr>
      <w:r>
        <w:rPr>
          <w:b w:val="0"/>
          <w:sz w:val="22"/>
        </w:rPr>
        <w:t>(a) Coagulopathy</w:t>
      </w:r>
    </w:p>
    <w:p>
      <w:pPr>
        <w:spacing w:after="0" w:before="0"/>
      </w:pPr>
      <w:r>
        <w:rPr>
          <w:b w:val="0"/>
          <w:sz w:val="22"/>
        </w:rPr>
        <w:t>(b) Tumour in liver</w:t>
      </w:r>
    </w:p>
    <w:p>
      <w:pPr>
        <w:spacing w:after="0" w:before="0"/>
      </w:pPr>
      <w:r>
        <w:rPr>
          <w:b w:val="0"/>
          <w:sz w:val="22"/>
        </w:rPr>
        <w:t>(c) Pneumothorax</w:t>
      </w:r>
    </w:p>
    <w:p>
      <w:pPr>
        <w:spacing w:after="0" w:before="0"/>
      </w:pPr>
      <w:r>
        <w:rPr>
          <w:b w:val="0"/>
          <w:sz w:val="22"/>
        </w:rPr>
        <w:t>(d) Bleeding</w:t>
      </w:r>
    </w:p>
    <w:p>
      <w:pPr>
        <w:spacing w:after="0" w:before="40"/>
      </w:pPr>
      <w:r>
        <w:rPr>
          <w:b/>
          <w:sz w:val="22"/>
        </w:rPr>
        <w:t>Answer: a</w:t>
      </w:r>
    </w:p>
    <w:p>
      <w:pPr>
        <w:spacing w:after="0" w:before="0"/>
      </w:pPr>
      <w:r>
        <w:rPr>
          <w:b w:val="0"/>
          <w:sz w:val="21"/>
        </w:rPr>
        <w:t>Solution: Liver biopsy is a relatively safe procedure, but certain conditions may increase the risk of complications. Absolute contraindications for liver biopsy in children include severe coagulopathy, uncontrolled bleeding disorders, and suspected malignant lesions with a high risk of needle tract seeding. Before performing the procedure, it is essential to evaluate the patient's medical history, coagulation profile, and imaging findings to determine the risk-benefit ratio.</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Plan for a central line</w:t>
      </w:r>
    </w:p>
    <w:p>
      <w:pPr>
        <w:spacing w:after="0" w:before="0"/>
      </w:pPr>
      <w:r>
        <w:rPr>
          <w:b w:val="0"/>
          <w:sz w:val="22"/>
        </w:rPr>
        <w:t>(b) Direct injection into an artery</w:t>
      </w:r>
    </w:p>
    <w:p>
      <w:pPr>
        <w:spacing w:after="0" w:before="0"/>
      </w:pPr>
      <w:r>
        <w:rPr>
          <w:b w:val="0"/>
          <w:sz w:val="22"/>
        </w:rPr>
        <w:t>(c) Direct injection into the intraosseous space of the tibia</w:t>
      </w:r>
    </w:p>
    <w:p>
      <w:pPr>
        <w:spacing w:after="0" w:before="0"/>
      </w:pPr>
      <w:r>
        <w:rPr>
          <w:b w:val="0"/>
          <w:sz w:val="22"/>
        </w:rPr>
        <w:t>(d) Cut down and inject directly</w:t>
      </w:r>
    </w:p>
    <w:p>
      <w:pPr>
        <w:spacing w:after="0" w:before="40"/>
      </w:pPr>
      <w:r>
        <w:rPr>
          <w:b/>
          <w:sz w:val="22"/>
        </w:rPr>
        <w:t>Answer: c</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Attempt manual removal</w:t>
      </w:r>
    </w:p>
    <w:p>
      <w:pPr>
        <w:spacing w:after="0" w:before="0"/>
      </w:pPr>
      <w:r>
        <w:rPr>
          <w:b w:val="0"/>
          <w:sz w:val="22"/>
        </w:rPr>
        <w:t>(b) Cover with tight pressure patch</w:t>
      </w:r>
    </w:p>
    <w:p>
      <w:pPr>
        <w:spacing w:after="0" w:before="0"/>
      </w:pPr>
      <w:r>
        <w:rPr>
          <w:b w:val="0"/>
          <w:sz w:val="22"/>
        </w:rPr>
        <w:t>(c) Copious eye irrigation with clean water or Normal Saline for 15-20 mins</w:t>
      </w:r>
    </w:p>
    <w:p>
      <w:pPr>
        <w:spacing w:after="0" w:before="0"/>
      </w:pPr>
      <w:r>
        <w:rPr>
          <w:b w:val="0"/>
          <w:sz w:val="22"/>
        </w:rPr>
        <w:t>(d) Administer oral analgesics</w:t>
      </w:r>
    </w:p>
    <w:p>
      <w:pPr>
        <w:spacing w:after="0" w:before="40"/>
      </w:pPr>
      <w:r>
        <w:rPr>
          <w:b/>
          <w:sz w:val="22"/>
        </w:rPr>
        <w:t>Answer: c</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Triple test performed at 15–18 weeks of gestation indicates Down Syndrome when</w:t>
      </w:r>
    </w:p>
    <w:p>
      <w:pPr>
        <w:spacing w:after="0" w:before="0"/>
      </w:pPr>
      <w:r>
        <w:rPr>
          <w:b w:val="0"/>
          <w:sz w:val="22"/>
        </w:rPr>
        <w:t>(a) All three markers are elevated</w:t>
      </w:r>
    </w:p>
    <w:p>
      <w:pPr>
        <w:spacing w:after="0" w:before="0"/>
      </w:pPr>
      <w:r>
        <w:rPr>
          <w:b w:val="0"/>
          <w:sz w:val="22"/>
        </w:rPr>
        <w:t>(b) All three markers are low</w:t>
      </w:r>
    </w:p>
    <w:p>
      <w:pPr>
        <w:spacing w:after="0" w:before="0"/>
      </w:pPr>
      <w:r>
        <w:rPr>
          <w:b w:val="0"/>
          <w:sz w:val="22"/>
        </w:rPr>
        <w:t>(c) High hCG, low MSAFP, and low Unconjugated Estriol (uE3)</w:t>
      </w:r>
    </w:p>
    <w:p>
      <w:pPr>
        <w:spacing w:after="0" w:before="0"/>
      </w:pPr>
      <w:r>
        <w:rPr>
          <w:b w:val="0"/>
          <w:sz w:val="22"/>
        </w:rPr>
        <w:t>(d) MSAFP and UE3 are high with low hCG</w:t>
      </w:r>
    </w:p>
    <w:p>
      <w:pPr>
        <w:spacing w:after="0" w:before="40"/>
      </w:pPr>
      <w:r>
        <w:rPr>
          <w:b/>
          <w:sz w:val="22"/>
        </w:rPr>
        <w:t>Answer: c</w:t>
      </w:r>
    </w:p>
    <w:p>
      <w:pPr>
        <w:spacing w:after="0" w:before="0"/>
      </w:pPr>
      <w:r>
        <w:rPr>
          <w:b w:val="0"/>
          <w:sz w:val="21"/>
        </w:rPr>
        <w:t>Solution: In Down Syndrome (Trisomy 21), maternal serum alpha-fetoprotein (MSAFP) is LOW, unconjugated estriol (uE3) is LOW, and Human Chorionic Gonadotropin (hCG) is HIGH.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common side effect of aspirin overdose is</w:t>
      </w:r>
    </w:p>
    <w:p>
      <w:pPr>
        <w:spacing w:after="0" w:before="0"/>
      </w:pPr>
      <w:r>
        <w:rPr>
          <w:b w:val="0"/>
          <w:sz w:val="22"/>
        </w:rPr>
        <w:t>(a) Lacrimation</w:t>
      </w:r>
    </w:p>
    <w:p>
      <w:pPr>
        <w:spacing w:after="0" w:before="0"/>
      </w:pPr>
      <w:r>
        <w:rPr>
          <w:b w:val="0"/>
          <w:sz w:val="22"/>
        </w:rPr>
        <w:t>(b) Tinnitus</w:t>
      </w:r>
    </w:p>
    <w:p>
      <w:pPr>
        <w:spacing w:after="0" w:before="0"/>
      </w:pPr>
      <w:r>
        <w:rPr>
          <w:b w:val="0"/>
          <w:sz w:val="22"/>
        </w:rPr>
        <w:t>(c) Headache</w:t>
      </w:r>
    </w:p>
    <w:p>
      <w:pPr>
        <w:spacing w:after="0" w:before="0"/>
      </w:pPr>
      <w:r>
        <w:rPr>
          <w:b w:val="0"/>
          <w:sz w:val="22"/>
        </w:rPr>
        <w:t>(d) Vertigo</w:t>
      </w:r>
    </w:p>
    <w:p>
      <w:pPr>
        <w:spacing w:after="0" w:before="40"/>
      </w:pPr>
      <w:r>
        <w:rPr>
          <w:b/>
          <w:sz w:val="22"/>
        </w:rPr>
        <w:t>Answer: b</w:t>
      </w:r>
    </w:p>
    <w:p>
      <w:pPr>
        <w:spacing w:after="0" w:before="0"/>
      </w:pPr>
      <w:r>
        <w:rPr>
          <w:b w:val="0"/>
          <w:sz w:val="21"/>
        </w:rPr>
        <w:t>Solution: Mild intoxication with acetylsalicylic acid (aspirin) is called salicylism and is experienced commonly when the daily dosage is higher than 4 g. Tinnitus (ringing in the ears) is the most frequent effect noted with intoxication. Hyperventilation may occur, because salicylate stimulates the respiratory center. Fever may result, because salicylate interferes with the metabolic pathways coupling oxygen consumption and heat production. Lilley et al. (2017), pp. 696-697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Exclusive breast feeding continued up to?</w:t>
      </w:r>
    </w:p>
    <w:p>
      <w:pPr>
        <w:spacing w:after="0" w:before="0"/>
      </w:pPr>
      <w:r>
        <w:rPr>
          <w:b w:val="0"/>
          <w:sz w:val="22"/>
        </w:rPr>
        <w:t>(a) 9 months</w:t>
      </w:r>
    </w:p>
    <w:p>
      <w:pPr>
        <w:spacing w:after="0" w:before="0"/>
      </w:pPr>
      <w:r>
        <w:rPr>
          <w:b w:val="0"/>
          <w:sz w:val="22"/>
        </w:rPr>
        <w:t>(b) 3 months</w:t>
      </w:r>
    </w:p>
    <w:p>
      <w:pPr>
        <w:spacing w:after="0" w:before="0"/>
      </w:pPr>
      <w:r>
        <w:rPr>
          <w:b w:val="0"/>
          <w:sz w:val="22"/>
        </w:rPr>
        <w:t>(c) 12 months</w:t>
      </w:r>
    </w:p>
    <w:p>
      <w:pPr>
        <w:spacing w:after="0" w:before="0"/>
      </w:pPr>
      <w:r>
        <w:rPr>
          <w:b w:val="0"/>
          <w:sz w:val="22"/>
        </w:rPr>
        <w:t>(d) 6 months</w:t>
      </w:r>
    </w:p>
    <w:p>
      <w:pPr>
        <w:spacing w:after="0" w:before="40"/>
      </w:pPr>
      <w:r>
        <w:rPr>
          <w:b/>
          <w:sz w:val="22"/>
        </w:rPr>
        <w:t>Answer: d</w:t>
      </w:r>
    </w:p>
    <w:p>
      <w:pPr>
        <w:spacing w:after="0" w:before="0"/>
      </w:pPr>
      <w:r>
        <w:rPr>
          <w:b w:val="0"/>
          <w:sz w:val="21"/>
        </w:rPr>
        <w:t>Solution: Exclusive breastfeeding is recommended to be continued up to 6 months of age (option B). Exclusive breastfeeding means that the infant receives only breast milk without the addition of any other liquids or foods, including water. Breast milk is the ideal source of nutrition for infants during the first 6 months of life, providing all the necessary nutrients, antibodies, and other bioactive components that support optimal growth and development. After 6 months, complementary foods should be introduced while breastfeeding Breast feeding spaeds) continues until at least 1 year of age or longer, as desired by the mother and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surgical use, contaminated rubber/latex gloves must be disposed of in which color biomedical waste container?</w:t>
      </w:r>
    </w:p>
    <w:p>
      <w:pPr>
        <w:spacing w:after="0" w:before="0"/>
      </w:pPr>
      <w:r>
        <w:rPr>
          <w:b w:val="0"/>
          <w:sz w:val="22"/>
        </w:rPr>
        <w:t>(a) Red bin</w:t>
      </w:r>
    </w:p>
    <w:p>
      <w:pPr>
        <w:spacing w:after="0" w:before="0"/>
      </w:pPr>
      <w:r>
        <w:rPr>
          <w:b w:val="0"/>
          <w:sz w:val="22"/>
        </w:rPr>
        <w:t>(b) Blue bin</w:t>
      </w:r>
    </w:p>
    <w:p>
      <w:pPr>
        <w:spacing w:after="0" w:before="0"/>
      </w:pPr>
      <w:r>
        <w:rPr>
          <w:b w:val="0"/>
          <w:sz w:val="22"/>
        </w:rPr>
        <w:t>(c) Black bin</w:t>
      </w:r>
    </w:p>
    <w:p>
      <w:pPr>
        <w:spacing w:after="0" w:before="0"/>
      </w:pPr>
      <w:r>
        <w:rPr>
          <w:b w:val="0"/>
          <w:sz w:val="22"/>
        </w:rPr>
        <w:t>(d) Yellow bin</w:t>
      </w:r>
    </w:p>
    <w:p>
      <w:pPr>
        <w:spacing w:after="0" w:before="40"/>
      </w:pPr>
      <w:r>
        <w:rPr>
          <w:b/>
          <w:sz w:val="22"/>
        </w:rPr>
        <w:t>Answer: a</w:t>
      </w:r>
    </w:p>
    <w:p>
      <w:pPr>
        <w:spacing w:after="0" w:before="0"/>
      </w:pPr>
      <w:r>
        <w:rPr>
          <w:b w:val="0"/>
          <w:sz w:val="21"/>
        </w:rPr>
        <w:t>Solution: Used rubber gloves, tubing, and plastic catheters are classified as recyclable contaminated waste and discarded in the RED container.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3 ml × %BSA × body weight (kg)</w:t>
      </w:r>
    </w:p>
    <w:p>
      <w:pPr>
        <w:spacing w:after="0" w:before="0"/>
      </w:pPr>
      <w:r>
        <w:rPr>
          <w:b w:val="0"/>
          <w:sz w:val="22"/>
        </w:rPr>
        <w:t>(b) 2 ml × %BSA × body weight (kg)</w:t>
      </w:r>
    </w:p>
    <w:p>
      <w:pPr>
        <w:spacing w:after="0" w:before="0"/>
      </w:pPr>
      <w:r>
        <w:rPr>
          <w:b w:val="0"/>
          <w:sz w:val="22"/>
        </w:rPr>
        <w:t>(c) 4 ml × %BSA × body weight (kg)</w:t>
      </w:r>
    </w:p>
    <w:p>
      <w:pPr>
        <w:spacing w:after="0" w:before="0"/>
      </w:pPr>
      <w:r>
        <w:rPr>
          <w:b w:val="0"/>
          <w:sz w:val="22"/>
        </w:rPr>
        <w:t>(d) 1 ml × %BSA × body weight (kg)</w:t>
      </w:r>
    </w:p>
    <w:p>
      <w:pPr>
        <w:spacing w:after="0" w:before="40"/>
      </w:pPr>
      <w:r>
        <w:rPr>
          <w:b/>
          <w:sz w:val="22"/>
        </w:rPr>
        <w:t>Answer: c</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similar to Command?</w:t>
      </w:r>
    </w:p>
    <w:p>
      <w:pPr>
        <w:spacing w:after="0" w:before="0"/>
      </w:pPr>
      <w:r>
        <w:rPr>
          <w:b w:val="0"/>
          <w:sz w:val="22"/>
        </w:rPr>
        <w:t>(a) Lead</w:t>
      </w:r>
    </w:p>
    <w:p>
      <w:pPr>
        <w:spacing w:after="0" w:before="0"/>
      </w:pPr>
      <w:r>
        <w:rPr>
          <w:b w:val="0"/>
          <w:sz w:val="22"/>
        </w:rPr>
        <w:t>(b) Manage</w:t>
      </w:r>
    </w:p>
    <w:p>
      <w:pPr>
        <w:spacing w:after="0" w:before="0"/>
      </w:pPr>
      <w:r>
        <w:rPr>
          <w:b w:val="0"/>
          <w:sz w:val="22"/>
        </w:rPr>
        <w:t>(c) Direction</w:t>
      </w:r>
    </w:p>
    <w:p>
      <w:pPr>
        <w:spacing w:after="0" w:before="0"/>
      </w:pPr>
      <w:r>
        <w:rPr>
          <w:b w:val="0"/>
          <w:sz w:val="22"/>
        </w:rPr>
        <w:t>(d) Supervise</w:t>
      </w:r>
    </w:p>
    <w:p>
      <w:pPr>
        <w:spacing w:after="0" w:before="40"/>
      </w:pPr>
      <w:r>
        <w:rPr>
          <w:b/>
          <w:sz w:val="22"/>
        </w:rPr>
        <w:t>Answer: c</w:t>
      </w:r>
    </w:p>
    <w:p>
      <w:pPr>
        <w:spacing w:after="0" w:before="0"/>
      </w:pPr>
      <w:r>
        <w:rPr>
          <w:b w:val="0"/>
          <w:sz w:val="21"/>
        </w:rPr>
        <w:t>Solution: The term similar to "command" among the given options is "direction." Command and direction are closely related terms that involve instructing or guiding others in a particular course of action. In the context of management or leadership, providing direction implies giving clear instructions, guidance, or orders to ensure that tasks are carried out effectively and goals are achieved.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common cause of diarrhoea in children under 5 years in developing countries is:</w:t>
      </w:r>
    </w:p>
    <w:p>
      <w:pPr>
        <w:spacing w:after="0" w:before="0"/>
      </w:pPr>
      <w:r>
        <w:rPr>
          <w:b w:val="0"/>
          <w:sz w:val="22"/>
        </w:rPr>
        <w:t>(a) Shigella</w:t>
      </w:r>
    </w:p>
    <w:p>
      <w:pPr>
        <w:spacing w:after="0" w:before="0"/>
      </w:pPr>
      <w:r>
        <w:rPr>
          <w:b w:val="0"/>
          <w:sz w:val="22"/>
        </w:rPr>
        <w:t>(b) Giardia</w:t>
      </w:r>
    </w:p>
    <w:p>
      <w:pPr>
        <w:spacing w:after="0" w:before="0"/>
      </w:pPr>
      <w:r>
        <w:rPr>
          <w:b w:val="0"/>
          <w:sz w:val="22"/>
        </w:rPr>
        <w:t>(c) Rotavirus</w:t>
      </w:r>
    </w:p>
    <w:p>
      <w:pPr>
        <w:spacing w:after="0" w:before="0"/>
      </w:pPr>
      <w:r>
        <w:rPr>
          <w:b w:val="0"/>
          <w:sz w:val="22"/>
        </w:rPr>
        <w:t>(d) Salmonella</w:t>
      </w:r>
    </w:p>
    <w:p>
      <w:pPr>
        <w:spacing w:after="0" w:before="40"/>
      </w:pPr>
      <w:r>
        <w:rPr>
          <w:b/>
          <w:sz w:val="22"/>
        </w:rPr>
        <w:t>Answer: c</w:t>
      </w:r>
    </w:p>
    <w:p>
      <w:pPr>
        <w:spacing w:after="0" w:before="0"/>
      </w:pPr>
      <w:r>
        <w:rPr>
          <w:b w:val="0"/>
          <w:sz w:val="21"/>
        </w:rPr>
        <w:t>Solution: Rotavirus is the leading cause of severe dehydrating diarrhoea in young children; vaccination is available.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ASHA in "A" stands for?</w:t>
      </w:r>
    </w:p>
    <w:p>
      <w:pPr>
        <w:spacing w:after="0" w:before="0"/>
      </w:pPr>
      <w:r>
        <w:rPr>
          <w:b w:val="0"/>
          <w:sz w:val="22"/>
        </w:rPr>
        <w:t>(a) Actor</w:t>
      </w:r>
    </w:p>
    <w:p>
      <w:pPr>
        <w:spacing w:after="0" w:before="0"/>
      </w:pPr>
      <w:r>
        <w:rPr>
          <w:b w:val="0"/>
          <w:sz w:val="22"/>
        </w:rPr>
        <w:t>(b) Accredited</w:t>
      </w:r>
    </w:p>
    <w:p>
      <w:pPr>
        <w:spacing w:after="0" w:before="0"/>
      </w:pPr>
      <w:r>
        <w:rPr>
          <w:b w:val="0"/>
          <w:sz w:val="22"/>
        </w:rPr>
        <w:t>(c) Automised</w:t>
      </w:r>
    </w:p>
    <w:p>
      <w:pPr>
        <w:spacing w:after="0" w:before="0"/>
      </w:pPr>
      <w:r>
        <w:rPr>
          <w:b w:val="0"/>
          <w:sz w:val="22"/>
        </w:rPr>
        <w:t>(d) Accesary</w:t>
      </w:r>
    </w:p>
    <w:p>
      <w:pPr>
        <w:spacing w:after="0" w:before="40"/>
      </w:pPr>
      <w:r>
        <w:rPr>
          <w:b/>
          <w:sz w:val="22"/>
        </w:rPr>
        <w:t>Answer: b</w:t>
      </w:r>
    </w:p>
    <w:p>
      <w:pPr>
        <w:spacing w:after="0" w:before="0"/>
      </w:pPr>
      <w:r>
        <w:rPr>
          <w:b w:val="0"/>
          <w:sz w:val="21"/>
        </w:rPr>
        <w:t>Solution: ASHA stands for Accredited Social Health Activist, a community health volunteer under the National Rural Health 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site cannot be used for IM injection to prevent injury in sciatic nerves?</w:t>
      </w:r>
    </w:p>
    <w:p>
      <w:pPr>
        <w:spacing w:after="0" w:before="0"/>
      </w:pPr>
      <w:r>
        <w:rPr>
          <w:b w:val="0"/>
          <w:sz w:val="22"/>
        </w:rPr>
        <w:t>(a) Deltoid</w:t>
      </w:r>
    </w:p>
    <w:p>
      <w:pPr>
        <w:spacing w:after="0" w:before="0"/>
      </w:pPr>
      <w:r>
        <w:rPr>
          <w:b w:val="0"/>
          <w:sz w:val="22"/>
        </w:rPr>
        <w:t>(b) Dorsogluteal</w:t>
      </w:r>
    </w:p>
    <w:p>
      <w:pPr>
        <w:spacing w:after="0" w:before="0"/>
      </w:pPr>
      <w:r>
        <w:rPr>
          <w:b w:val="0"/>
          <w:sz w:val="22"/>
        </w:rPr>
        <w:t>(c) Ventrogluteal</w:t>
      </w:r>
    </w:p>
    <w:p>
      <w:pPr>
        <w:spacing w:after="0" w:before="0"/>
      </w:pPr>
      <w:r>
        <w:rPr>
          <w:b w:val="0"/>
          <w:sz w:val="22"/>
        </w:rPr>
        <w:t>(d) Vastaslatralis</w:t>
      </w:r>
    </w:p>
    <w:p>
      <w:pPr>
        <w:spacing w:after="0" w:before="40"/>
      </w:pPr>
      <w:r>
        <w:rPr>
          <w:b/>
          <w:sz w:val="22"/>
        </w:rPr>
        <w:t>Answer: b</w:t>
      </w:r>
    </w:p>
    <w:p>
      <w:pPr>
        <w:spacing w:after="0" w:before="0"/>
      </w:pPr>
      <w:r>
        <w:rPr>
          <w:b w:val="0"/>
          <w:sz w:val="21"/>
        </w:rPr>
        <w:t>Solution: The dorsogluteal site is no longer recommended as the preferred site for IM injections due to the risk of injury to the sciatic nerve. The sciatic nerve is the largest nerve in the body and runs through the buttock area, close to the dorsogluteal site where injections are commonly given. If the injection is not administered correctly, the needle can injure or irritate the sciatic nerve, leading to nerve damage. The ventrogluteal (most Enjections 2 FONT preferable), deltoid and vastus lateralis sites are now considered safer and more appropriate sites for IM injection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Contraindications of nasopharyngeal airway is:</w:t>
      </w:r>
    </w:p>
    <w:p>
      <w:pPr>
        <w:spacing w:after="0" w:before="0"/>
      </w:pPr>
      <w:r>
        <w:rPr>
          <w:b w:val="0"/>
          <w:sz w:val="22"/>
        </w:rPr>
        <w:t>(a) Skull base Fracture</w:t>
      </w:r>
    </w:p>
    <w:p>
      <w:pPr>
        <w:spacing w:after="0" w:before="0"/>
      </w:pPr>
      <w:r>
        <w:rPr>
          <w:b w:val="0"/>
          <w:sz w:val="22"/>
        </w:rPr>
        <w:t>(b) During dental procedures</w:t>
      </w:r>
    </w:p>
    <w:p>
      <w:pPr>
        <w:spacing w:after="0" w:before="0"/>
      </w:pPr>
      <w:r>
        <w:rPr>
          <w:b w:val="0"/>
          <w:sz w:val="22"/>
        </w:rPr>
        <w:t>(c) Unconscious</w:t>
      </w:r>
    </w:p>
    <w:p>
      <w:pPr>
        <w:spacing w:after="0" w:before="0"/>
      </w:pPr>
      <w:r>
        <w:rPr>
          <w:b w:val="0"/>
          <w:sz w:val="22"/>
        </w:rPr>
        <w:t>(d) Sedated patient</w:t>
      </w:r>
    </w:p>
    <w:p>
      <w:pPr>
        <w:spacing w:after="0" w:before="40"/>
      </w:pPr>
      <w:r>
        <w:rPr>
          <w:b/>
          <w:sz w:val="22"/>
        </w:rPr>
        <w:t>Answer: a</w:t>
      </w:r>
    </w:p>
    <w:p>
      <w:pPr>
        <w:spacing w:after="0" w:before="0"/>
      </w:pPr>
      <w:r>
        <w:rPr>
          <w:b w:val="0"/>
          <w:sz w:val="21"/>
        </w:rPr>
        <w:t>Solution: A nasopharyngeal airway is contraindicated in fracture of the base of the skull (risk of entering the cranial cavity).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caring for a 3-day-old neonate who is receiving phototherapy to treat jaundice, the nurse in charge would expect to do which of the following?</w:t>
      </w:r>
    </w:p>
    <w:p>
      <w:pPr>
        <w:spacing w:after="0" w:before="0"/>
      </w:pPr>
      <w:r>
        <w:rPr>
          <w:b w:val="0"/>
          <w:sz w:val="22"/>
        </w:rPr>
        <w:t>(a) Turn the neonate every 6 hours</w:t>
      </w:r>
    </w:p>
    <w:p>
      <w:pPr>
        <w:spacing w:after="0" w:before="0"/>
      </w:pPr>
      <w:r>
        <w:rPr>
          <w:b w:val="0"/>
          <w:sz w:val="22"/>
        </w:rPr>
        <w:t>(b) Encourage the mother to discontinue breastfeeding.</w:t>
      </w:r>
    </w:p>
    <w:p>
      <w:pPr>
        <w:spacing w:after="0" w:before="0"/>
      </w:pPr>
      <w:r>
        <w:rPr>
          <w:b w:val="0"/>
          <w:sz w:val="22"/>
        </w:rPr>
        <w:t>(c) Check the vital signs every 2 to 4 hours.</w:t>
      </w:r>
    </w:p>
    <w:p>
      <w:pPr>
        <w:spacing w:after="0" w:before="0"/>
      </w:pPr>
      <w:r>
        <w:rPr>
          <w:b w:val="0"/>
          <w:sz w:val="22"/>
        </w:rPr>
        <w:t>(d) Notify the physician if the skin becomes bronze in color.</w:t>
      </w:r>
    </w:p>
    <w:p>
      <w:pPr>
        <w:spacing w:after="0" w:before="40"/>
      </w:pPr>
      <w:r>
        <w:rPr>
          <w:b/>
          <w:sz w:val="22"/>
        </w:rPr>
        <w:t>Answer: c</w:t>
      </w:r>
    </w:p>
    <w:p>
      <w:pPr>
        <w:spacing w:after="0" w:before="0"/>
      </w:pPr>
      <w:r>
        <w:rPr>
          <w:b w:val="0"/>
          <w:sz w:val="21"/>
        </w:rPr>
        <w:t>Solution: During phototherapy, the nurse checks the neonate's vital signs every 2-4 hours and monitors temperature, hydration and skin.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Arrange the following words according to EnglishDictionary? 1. Cancel 2. Candle 3. Candidate 4. Chanting</w:t>
      </w:r>
    </w:p>
    <w:p>
      <w:pPr>
        <w:spacing w:after="0" w:before="0"/>
      </w:pPr>
      <w:r>
        <w:rPr>
          <w:b w:val="0"/>
          <w:sz w:val="22"/>
        </w:rPr>
        <w:t>(a) 1,2,3,4</w:t>
      </w:r>
    </w:p>
    <w:p>
      <w:pPr>
        <w:spacing w:after="0" w:before="0"/>
      </w:pPr>
      <w:r>
        <w:rPr>
          <w:b w:val="0"/>
          <w:sz w:val="22"/>
        </w:rPr>
        <w:t>(b) 3,2,1,4</w:t>
      </w:r>
    </w:p>
    <w:p>
      <w:pPr>
        <w:spacing w:after="0" w:before="0"/>
      </w:pPr>
      <w:r>
        <w:rPr>
          <w:b w:val="0"/>
          <w:sz w:val="22"/>
        </w:rPr>
        <w:t>(c) 1,3,2,4</w:t>
      </w:r>
    </w:p>
    <w:p>
      <w:pPr>
        <w:spacing w:after="0" w:before="0"/>
      </w:pPr>
      <w:r>
        <w:rPr>
          <w:b w:val="0"/>
          <w:sz w:val="22"/>
        </w:rPr>
        <w:t>(d) 2,3,1,4</w:t>
      </w:r>
    </w:p>
    <w:p>
      <w:pPr>
        <w:spacing w:after="0" w:before="40"/>
      </w:pPr>
      <w:r>
        <w:rPr>
          <w:b/>
          <w:sz w:val="22"/>
        </w:rPr>
        <w:t>Answer: c</w:t>
      </w:r>
    </w:p>
    <w:p>
      <w:pPr>
        <w:spacing w:after="0" w:before="0"/>
      </w:pPr>
      <w:r>
        <w:rPr>
          <w:b w:val="0"/>
          <w:sz w:val="21"/>
        </w:rPr>
        <w:t>Solution: Cancel (c-a-n-c-e), Candidate (c-a-n-d-i), Candle (c-a-n-d-l), Chanting (c-h-a): comparing letter by letter, the dictionary order is Cancel, Candidate, Candle, Chanting, i.e., 1,3,2,4.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following clinical condition a 2 years old baby`s cheeks and face looking like reddish around the mouth. It is?</w:t>
      </w:r>
    </w:p>
    <w:p>
      <w:pPr>
        <w:spacing w:after="0" w:before="0"/>
      </w:pPr>
      <w:r>
        <w:rPr>
          <w:b w:val="0"/>
          <w:sz w:val="22"/>
        </w:rPr>
        <w:t>(a) Atopic dermatitis</w:t>
      </w:r>
    </w:p>
    <w:p>
      <w:pPr>
        <w:spacing w:after="0" w:before="0"/>
      </w:pPr>
      <w:r>
        <w:rPr>
          <w:b w:val="0"/>
          <w:sz w:val="22"/>
        </w:rPr>
        <w:t>(b) Scabies</w:t>
      </w:r>
    </w:p>
    <w:p>
      <w:pPr>
        <w:spacing w:after="0" w:before="0"/>
      </w:pPr>
      <w:r>
        <w:rPr>
          <w:b w:val="0"/>
          <w:sz w:val="22"/>
        </w:rPr>
        <w:t>(c) Contact Dermatitis</w:t>
      </w:r>
    </w:p>
    <w:p>
      <w:pPr>
        <w:spacing w:after="0" w:before="0"/>
      </w:pPr>
      <w:r>
        <w:rPr>
          <w:b w:val="0"/>
          <w:sz w:val="22"/>
        </w:rPr>
        <w:t>(d) Impetigo</w:t>
      </w:r>
    </w:p>
    <w:p>
      <w:pPr>
        <w:spacing w:after="0" w:before="40"/>
      </w:pPr>
      <w:r>
        <w:rPr>
          <w:b/>
          <w:sz w:val="22"/>
        </w:rPr>
        <w:t>Answer: a</w:t>
      </w:r>
    </w:p>
    <w:p>
      <w:pPr>
        <w:spacing w:after="0" w:before="0"/>
      </w:pPr>
      <w:r>
        <w:rPr>
          <w:b w:val="0"/>
          <w:sz w:val="21"/>
        </w:rPr>
        <w:t>Solution: The clinical condition described, where a 2-year-old baby's cheeks and face appear reddish around the mouth, is consistent with atopic dermatitis (option C). Atopic dermatitis, also known as eczema, is a chronic inflammatory skin condition characterized by dry, itchy, and inflamed skin. In infants and young children, atopic dermatitis often presents as red, scaly patches that commonly affect the face, particularly the cheeks. The skin around the mouth may be especially susceptible to irritation and redness in atopic dermatitis. Other associated symptoms can include itching, skin thickening, and recurrent flare-ups.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