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develops anaphylaxis after a bee sting. What is the nurse's priority intervention?</w:t>
      </w:r>
    </w:p>
    <w:p>
      <w:pPr>
        <w:spacing w:after="0" w:before="0"/>
      </w:pPr>
      <w:r>
        <w:rPr>
          <w:b w:val="0"/>
          <w:sz w:val="22"/>
        </w:rPr>
        <w:t>(a) Administer epinephrine IM immediately</w:t>
      </w:r>
    </w:p>
    <w:p>
      <w:pPr>
        <w:spacing w:after="0" w:before="0"/>
      </w:pPr>
      <w:r>
        <w:rPr>
          <w:b w:val="0"/>
          <w:sz w:val="22"/>
        </w:rPr>
        <w:t>(b) Apply oxygen by face mask</w:t>
      </w:r>
    </w:p>
    <w:p>
      <w:pPr>
        <w:spacing w:after="0" w:before="0"/>
      </w:pPr>
      <w:r>
        <w:rPr>
          <w:b w:val="0"/>
          <w:sz w:val="22"/>
        </w:rPr>
        <w:t>(c) Give an oral antihistamine</w:t>
      </w:r>
    </w:p>
    <w:p>
      <w:pPr>
        <w:spacing w:after="0" w:before="0"/>
      </w:pPr>
      <w:r>
        <w:rPr>
          <w:b w:val="0"/>
          <w:sz w:val="22"/>
        </w:rPr>
        <w:t>(d) Establish IV access first</w:t>
      </w:r>
    </w:p>
    <w:p>
      <w:pPr>
        <w:spacing w:after="0" w:before="40"/>
      </w:pPr>
      <w:r>
        <w:rPr>
          <w:b/>
          <w:sz w:val="22"/>
        </w:rPr>
        <w:t>Answer: a</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is a harmless side effect of rifampicin and therapy must continue</w:t>
      </w:r>
    </w:p>
    <w:p>
      <w:pPr>
        <w:spacing w:after="0" w:before="0"/>
      </w:pPr>
      <w:r>
        <w:rPr>
          <w:b w:val="0"/>
          <w:sz w:val="22"/>
        </w:rPr>
        <w:t>(b) It indicates liver damage</w:t>
      </w:r>
    </w:p>
    <w:p>
      <w:pPr>
        <w:spacing w:after="0" w:before="0"/>
      </w:pPr>
      <w:r>
        <w:rPr>
          <w:b w:val="0"/>
          <w:sz w:val="22"/>
        </w:rPr>
        <w:t>(c) The drug must be stopped immediately</w:t>
      </w:r>
    </w:p>
    <w:p>
      <w:pPr>
        <w:spacing w:after="0" w:before="0"/>
      </w:pPr>
      <w:r>
        <w:rPr>
          <w:b w:val="0"/>
          <w:sz w:val="22"/>
        </w:rPr>
        <w:t>(d) The client needs a higher dose</w:t>
      </w:r>
    </w:p>
    <w:p>
      <w:pPr>
        <w:spacing w:after="0" w:before="40"/>
      </w:pPr>
      <w:r>
        <w:rPr>
          <w:b/>
          <w:sz w:val="22"/>
        </w:rPr>
        <w:t>Answer: a</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 during storage?</w:t>
      </w:r>
    </w:p>
    <w:p>
      <w:pPr>
        <w:spacing w:after="0" w:before="0"/>
      </w:pPr>
      <w:r>
        <w:rPr>
          <w:b w:val="0"/>
          <w:sz w:val="22"/>
        </w:rPr>
        <w:t>(a) BCG</w:t>
      </w:r>
    </w:p>
    <w:p>
      <w:pPr>
        <w:spacing w:after="0" w:before="0"/>
      </w:pPr>
      <w:r>
        <w:rPr>
          <w:b w:val="0"/>
          <w:sz w:val="22"/>
        </w:rPr>
        <w:t>(b) Polio (OPV)</w:t>
      </w:r>
    </w:p>
    <w:p>
      <w:pPr>
        <w:spacing w:after="0" w:before="0"/>
      </w:pPr>
      <w:r>
        <w:rPr>
          <w:b w:val="0"/>
          <w:sz w:val="22"/>
        </w:rPr>
        <w:t>(c) MMR</w:t>
      </w:r>
    </w:p>
    <w:p>
      <w:pPr>
        <w:spacing w:after="0" w:before="0"/>
      </w:pPr>
      <w:r>
        <w:rPr>
          <w:b w:val="0"/>
          <w:sz w:val="22"/>
        </w:rPr>
        <w:t>(d) DPT / DT</w:t>
      </w:r>
    </w:p>
    <w:p>
      <w:pPr>
        <w:spacing w:after="0" w:before="40"/>
      </w:pPr>
      <w:r>
        <w:rPr>
          <w:b/>
          <w:sz w:val="22"/>
        </w:rPr>
        <w:t>Answer: c</w:t>
      </w:r>
    </w:p>
    <w:p>
      <w:pPr>
        <w:spacing w:after="0" w:before="0"/>
      </w:pPr>
      <w:r>
        <w:rPr>
          <w:b w:val="0"/>
          <w:sz w:val="21"/>
        </w:rPr>
        <w:t>Solution: Freeze-dried (lyophilized) vaccines like MMR and Measles can be stored in frozen state (-20°C).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follwing is added with ORS to Control diarrhea?</w:t>
      </w:r>
    </w:p>
    <w:p>
      <w:pPr>
        <w:spacing w:after="0" w:before="0"/>
      </w:pPr>
      <w:r>
        <w:rPr>
          <w:b w:val="0"/>
          <w:sz w:val="22"/>
        </w:rPr>
        <w:t>(a) Potassium</w:t>
      </w:r>
    </w:p>
    <w:p>
      <w:pPr>
        <w:spacing w:after="0" w:before="0"/>
      </w:pPr>
      <w:r>
        <w:rPr>
          <w:b w:val="0"/>
          <w:sz w:val="22"/>
        </w:rPr>
        <w:t>(b) Copper</w:t>
      </w:r>
    </w:p>
    <w:p>
      <w:pPr>
        <w:spacing w:after="0" w:before="0"/>
      </w:pPr>
      <w:r>
        <w:rPr>
          <w:b w:val="0"/>
          <w:sz w:val="22"/>
        </w:rPr>
        <w:t>(c) Zinc</w:t>
      </w:r>
    </w:p>
    <w:p>
      <w:pPr>
        <w:spacing w:after="0" w:before="0"/>
      </w:pPr>
      <w:r>
        <w:rPr>
          <w:b w:val="0"/>
          <w:sz w:val="22"/>
        </w:rPr>
        <w:t>(d) Calcium</w:t>
      </w:r>
    </w:p>
    <w:p>
      <w:pPr>
        <w:spacing w:after="0" w:before="40"/>
      </w:pPr>
      <w:r>
        <w:rPr>
          <w:b/>
          <w:sz w:val="22"/>
        </w:rPr>
        <w:t>Answer: c</w:t>
      </w:r>
    </w:p>
    <w:p>
      <w:pPr>
        <w:spacing w:after="0" w:before="0"/>
      </w:pPr>
      <w:r>
        <w:rPr>
          <w:b w:val="0"/>
          <w:sz w:val="21"/>
        </w:rPr>
        <w:t>Solution: Zinc is added to ORS (Oral Rehydration Solution) to help control diarrhea. ORS is a solution containing a specific balance of electrolytes and glucose that is used to treat dehydration caused by diarrhea. Zinc supplementation in ORS has been found to be effective in reducing the duration and severity of diarrhea in children. Zinc plays a crucial role in the normal functioning of the immune system and helps maintain the integrity of the intestinal mucosa. It also has direct antiviral and antibacterial effects. Therefore, adding zinc to ORS can enhance its effectiveness in managing diarrhea.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newborn hemoglobin level is:</w:t>
      </w:r>
    </w:p>
    <w:p>
      <w:pPr>
        <w:spacing w:after="0" w:before="0"/>
      </w:pPr>
      <w:r>
        <w:rPr>
          <w:b w:val="0"/>
          <w:sz w:val="22"/>
        </w:rPr>
        <w:t>(a) 17-20 g/dl</w:t>
      </w:r>
    </w:p>
    <w:p>
      <w:pPr>
        <w:spacing w:after="0" w:before="0"/>
      </w:pPr>
      <w:r>
        <w:rPr>
          <w:b w:val="0"/>
          <w:sz w:val="22"/>
        </w:rPr>
        <w:t>(b) 20-25 g/dl</w:t>
      </w:r>
    </w:p>
    <w:p>
      <w:pPr>
        <w:spacing w:after="0" w:before="0"/>
      </w:pPr>
      <w:r>
        <w:rPr>
          <w:b w:val="0"/>
          <w:sz w:val="22"/>
        </w:rPr>
        <w:t>(c) 10-12 g/dl</w:t>
      </w:r>
    </w:p>
    <w:p>
      <w:pPr>
        <w:spacing w:after="0" w:before="0"/>
      </w:pPr>
      <w:r>
        <w:rPr>
          <w:b w:val="0"/>
          <w:sz w:val="22"/>
        </w:rPr>
        <w:t>(d) 12-14 g/dl</w:t>
      </w:r>
    </w:p>
    <w:p>
      <w:pPr>
        <w:spacing w:after="0" w:before="40"/>
      </w:pPr>
      <w:r>
        <w:rPr>
          <w:b/>
          <w:sz w:val="22"/>
        </w:rPr>
        <w:t>Answer: a</w:t>
      </w:r>
    </w:p>
    <w:p>
      <w:pPr>
        <w:spacing w:after="0" w:before="0"/>
      </w:pPr>
      <w:r>
        <w:rPr>
          <w:b w:val="0"/>
          <w:sz w:val="21"/>
        </w:rPr>
        <w:t>Solution: The normal newborn haemoglobin level is 17-20 g/dl.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disease fall under National Vector Born Disease Control Program except</w:t>
      </w:r>
    </w:p>
    <w:p>
      <w:pPr>
        <w:spacing w:after="0" w:before="0"/>
      </w:pPr>
      <w:r>
        <w:rPr>
          <w:b w:val="0"/>
          <w:sz w:val="22"/>
        </w:rPr>
        <w:t>(a) Filaria</w:t>
      </w:r>
    </w:p>
    <w:p>
      <w:pPr>
        <w:spacing w:after="0" w:before="0"/>
      </w:pPr>
      <w:r>
        <w:rPr>
          <w:b w:val="0"/>
          <w:sz w:val="22"/>
        </w:rPr>
        <w:t>(b) Dengue</w:t>
      </w:r>
    </w:p>
    <w:p>
      <w:pPr>
        <w:spacing w:after="0" w:before="0"/>
      </w:pPr>
      <w:r>
        <w:rPr>
          <w:b w:val="0"/>
          <w:sz w:val="22"/>
        </w:rPr>
        <w:t>(c) Chikungunya</w:t>
      </w:r>
    </w:p>
    <w:p>
      <w:pPr>
        <w:spacing w:after="0" w:before="0"/>
      </w:pPr>
      <w:r>
        <w:rPr>
          <w:b w:val="0"/>
          <w:sz w:val="22"/>
        </w:rPr>
        <w:t>(d) Plague</w:t>
      </w:r>
    </w:p>
    <w:p>
      <w:pPr>
        <w:spacing w:after="0" w:before="40"/>
      </w:pPr>
      <w:r>
        <w:rPr>
          <w:b/>
          <w:sz w:val="22"/>
        </w:rPr>
        <w:t>Answer: d</w:t>
      </w:r>
    </w:p>
    <w:p>
      <w:pPr>
        <w:spacing w:after="0" w:before="0"/>
      </w:pPr>
      <w:r>
        <w:rPr>
          <w:b w:val="0"/>
          <w:sz w:val="21"/>
        </w:rPr>
        <w:t>Solution: Plague is not a vector-borne disease included under NVBDCP; filaria, chikungunya and dengue 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following normal third stage delivery, where should the uterine fundus be palpated?</w:t>
      </w:r>
    </w:p>
    <w:p>
      <w:pPr>
        <w:spacing w:after="0" w:before="0"/>
      </w:pPr>
      <w:r>
        <w:rPr>
          <w:b w:val="0"/>
          <w:sz w:val="22"/>
        </w:rPr>
        <w:t>(a) Midway between symphysis pubis and umbilicus (or at level of umbilicus)</w:t>
      </w:r>
    </w:p>
    <w:p>
      <w:pPr>
        <w:spacing w:after="0" w:before="0"/>
      </w:pPr>
      <w:r>
        <w:rPr>
          <w:b w:val="0"/>
          <w:sz w:val="22"/>
        </w:rPr>
        <w:t>(b) Above umbilicus</w:t>
      </w:r>
    </w:p>
    <w:p>
      <w:pPr>
        <w:spacing w:after="0" w:before="0"/>
      </w:pPr>
      <w:r>
        <w:rPr>
          <w:b w:val="0"/>
          <w:sz w:val="22"/>
        </w:rPr>
        <w:t>(c) At xiphoid process</w:t>
      </w:r>
    </w:p>
    <w:p>
      <w:pPr>
        <w:spacing w:after="0" w:before="0"/>
      </w:pPr>
      <w:r>
        <w:rPr>
          <w:b w:val="0"/>
          <w:sz w:val="22"/>
        </w:rPr>
        <w:t>(d) Below symphysis pubis</w:t>
      </w:r>
    </w:p>
    <w:p>
      <w:pPr>
        <w:spacing w:after="0" w:before="40"/>
      </w:pPr>
      <w:r>
        <w:rPr>
          <w:b/>
          <w:sz w:val="22"/>
        </w:rPr>
        <w:t>Answer: a</w:t>
      </w:r>
    </w:p>
    <w:p>
      <w:pPr>
        <w:spacing w:after="0" w:before="0"/>
      </w:pPr>
      <w:r>
        <w:rPr>
          <w:b w:val="0"/>
          <w:sz w:val="21"/>
        </w:rPr>
        <w:t>Solution: Immediately after placental delivery, the firmly contracted uterine fundus is palpated at or 1-2 cm below the level of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Purpose of national deworming day?</w:t>
      </w:r>
    </w:p>
    <w:p>
      <w:pPr>
        <w:spacing w:after="0" w:before="0"/>
      </w:pPr>
      <w:r>
        <w:rPr>
          <w:b w:val="0"/>
          <w:sz w:val="22"/>
        </w:rPr>
        <w:t>(a) Improve IMR &amp; MMR</w:t>
      </w:r>
    </w:p>
    <w:p>
      <w:pPr>
        <w:spacing w:after="0" w:before="0"/>
      </w:pPr>
      <w:r>
        <w:rPr>
          <w:b w:val="0"/>
          <w:sz w:val="22"/>
        </w:rPr>
        <w:t>(b) Eradicate intestinal worms</w:t>
      </w:r>
    </w:p>
    <w:p>
      <w:pPr>
        <w:spacing w:after="0" w:before="0"/>
      </w:pPr>
      <w:r>
        <w:rPr>
          <w:b w:val="0"/>
          <w:sz w:val="22"/>
        </w:rPr>
        <w:t>(c) Improve breast feeding</w:t>
      </w:r>
    </w:p>
    <w:p>
      <w:pPr>
        <w:spacing w:after="0" w:before="0"/>
      </w:pPr>
      <w:r>
        <w:rPr>
          <w:b w:val="0"/>
          <w:sz w:val="22"/>
        </w:rPr>
        <w:t>(d) Eradicate poverty</w:t>
      </w:r>
    </w:p>
    <w:p>
      <w:pPr>
        <w:spacing w:after="0" w:before="40"/>
      </w:pPr>
      <w:r>
        <w:rPr>
          <w:b/>
          <w:sz w:val="22"/>
        </w:rPr>
        <w:t>Answer: c</w:t>
      </w:r>
    </w:p>
    <w:p>
      <w:pPr>
        <w:spacing w:after="0" w:before="0"/>
      </w:pPr>
      <w:r>
        <w:rPr>
          <w:b w:val="0"/>
          <w:sz w:val="21"/>
        </w:rPr>
        <w:t>Solution: The National Deworming Day is observed on February 10 every year. It is an initiative of Ministry of Health and Family Welfare, Government of India to make every child in the country worm free. The objective of National Deworming Day is to deworm all preschool and school-age children (enrolled and non-enrolled) between the ages of 1-19 years through the platform of schools and Anganwadi Centers in order to improve their overall health, nutritional status, access to education and quality of life.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a serological diagnostic test used to detect infection caused by</w:t>
      </w:r>
    </w:p>
    <w:p>
      <w:pPr>
        <w:spacing w:after="0" w:before="0"/>
      </w:pPr>
      <w:r>
        <w:rPr>
          <w:b w:val="0"/>
          <w:sz w:val="22"/>
        </w:rPr>
        <w:t>(a) Escherichia coli</w:t>
      </w:r>
    </w:p>
    <w:p>
      <w:pPr>
        <w:spacing w:after="0" w:before="0"/>
      </w:pPr>
      <w:r>
        <w:rPr>
          <w:b w:val="0"/>
          <w:sz w:val="22"/>
        </w:rPr>
        <w:t>(b) Salmonella typhi</w:t>
      </w:r>
    </w:p>
    <w:p>
      <w:pPr>
        <w:spacing w:after="0" w:before="0"/>
      </w:pPr>
      <w:r>
        <w:rPr>
          <w:b w:val="0"/>
          <w:sz w:val="22"/>
        </w:rPr>
        <w:t>(c) Mycobacterium tuberculosis</w:t>
      </w:r>
    </w:p>
    <w:p>
      <w:pPr>
        <w:spacing w:after="0" w:before="0"/>
      </w:pPr>
      <w:r>
        <w:rPr>
          <w:b w:val="0"/>
          <w:sz w:val="22"/>
        </w:rPr>
        <w:t>(d) Haemophilus influenzae</w:t>
      </w:r>
    </w:p>
    <w:p>
      <w:pPr>
        <w:spacing w:after="0" w:before="40"/>
      </w:pPr>
      <w:r>
        <w:rPr>
          <w:b/>
          <w:sz w:val="22"/>
        </w:rPr>
        <w:t>Answer: b</w:t>
      </w:r>
    </w:p>
    <w:p>
      <w:pPr>
        <w:spacing w:after="0" w:before="0"/>
      </w:pPr>
      <w:r>
        <w:rPr>
          <w:b w:val="0"/>
          <w:sz w:val="21"/>
        </w:rPr>
        <w:t>Solution: Widal agglutination test detects O and H antibodies against Salmonella typhi and paratyphi in enteric fever (Typhoid).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Milieu therapy</w:t>
      </w:r>
    </w:p>
    <w:p>
      <w:pPr>
        <w:spacing w:after="0" w:before="0"/>
      </w:pPr>
      <w:r>
        <w:rPr>
          <w:b w:val="0"/>
          <w:sz w:val="22"/>
        </w:rPr>
        <w:t>(b) Behaviour therapy</w:t>
      </w:r>
    </w:p>
    <w:p>
      <w:pPr>
        <w:spacing w:after="0" w:before="0"/>
      </w:pPr>
      <w:r>
        <w:rPr>
          <w:b w:val="0"/>
          <w:sz w:val="22"/>
        </w:rPr>
        <w:t>(c) Free association (psychoanalysis)</w:t>
      </w:r>
    </w:p>
    <w:p>
      <w:pPr>
        <w:spacing w:after="0" w:before="0"/>
      </w:pPr>
      <w:r>
        <w:rPr>
          <w:b w:val="0"/>
          <w:sz w:val="22"/>
        </w:rPr>
        <w:t>(d) Cognitive therapy</w:t>
      </w:r>
    </w:p>
    <w:p>
      <w:pPr>
        <w:spacing w:after="0" w:before="40"/>
      </w:pPr>
      <w:r>
        <w:rPr>
          <w:b/>
          <w:sz w:val="22"/>
        </w:rPr>
        <w:t>Answer: c</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instruction should the nurse give to a woman in the first stage of labor?</w:t>
      </w:r>
    </w:p>
    <w:p>
      <w:pPr>
        <w:spacing w:after="0" w:before="0"/>
      </w:pPr>
      <w:r>
        <w:rPr>
          <w:b w:val="0"/>
          <w:sz w:val="22"/>
        </w:rPr>
        <w:t>(a) Do not push during contraction</w:t>
      </w:r>
    </w:p>
    <w:p>
      <w:pPr>
        <w:spacing w:after="0" w:before="0"/>
      </w:pPr>
      <w:r>
        <w:rPr>
          <w:b w:val="0"/>
          <w:sz w:val="22"/>
        </w:rPr>
        <w:t>(b) Push after full cervical dilatation</w:t>
      </w:r>
    </w:p>
    <w:p>
      <w:pPr>
        <w:spacing w:after="0" w:before="0"/>
      </w:pPr>
      <w:r>
        <w:rPr>
          <w:b w:val="0"/>
          <w:sz w:val="22"/>
        </w:rPr>
        <w:t>(c) To lie flat on the bed</w:t>
      </w:r>
    </w:p>
    <w:p>
      <w:pPr>
        <w:spacing w:after="0" w:before="0"/>
      </w:pPr>
      <w:r>
        <w:rPr>
          <w:b w:val="0"/>
          <w:sz w:val="22"/>
        </w:rPr>
        <w:t>(d) Do not push during each contraction</w:t>
      </w:r>
    </w:p>
    <w:p>
      <w:pPr>
        <w:spacing w:after="0" w:before="40"/>
      </w:pPr>
      <w:r>
        <w:rPr>
          <w:b/>
          <w:sz w:val="22"/>
        </w:rPr>
        <w:t>Answer: a</w:t>
      </w:r>
    </w:p>
    <w:p>
      <w:pPr>
        <w:spacing w:after="0" w:before="0"/>
      </w:pPr>
      <w:r>
        <w:rPr>
          <w:b w:val="0"/>
          <w:sz w:val="21"/>
        </w:rPr>
        <w:t>Solution: During the first stage of labour, the nurse should instruct the woman to push after the cervix is fully dilated. The first stage of labour is characterised by regular contractions and progressive cervical dilatation. The woman should be encouraged to rest and conserve her energy during this stage of labour.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10-12 breaths then reassess</w:t>
      </w:r>
    </w:p>
    <w:p>
      <w:pPr>
        <w:spacing w:after="0" w:before="0"/>
      </w:pPr>
      <w:r>
        <w:rPr>
          <w:b w:val="0"/>
          <w:sz w:val="22"/>
        </w:rPr>
        <w:t>(b) Give 20-22 breaths then assess for 2 minutes</w:t>
      </w:r>
    </w:p>
    <w:p>
      <w:pPr>
        <w:spacing w:after="0" w:before="0"/>
      </w:pPr>
      <w:r>
        <w:rPr>
          <w:b w:val="0"/>
          <w:sz w:val="22"/>
        </w:rPr>
        <w:t>(c) Inform Physician</w:t>
      </w:r>
    </w:p>
    <w:p>
      <w:pPr>
        <w:spacing w:after="0" w:before="0"/>
      </w:pPr>
      <w:r>
        <w:rPr>
          <w:b w:val="0"/>
          <w:sz w:val="22"/>
        </w:rPr>
        <w:t>(d) Start CPR</w:t>
      </w:r>
    </w:p>
    <w:p>
      <w:pPr>
        <w:spacing w:after="0" w:before="40"/>
      </w:pPr>
      <w:r>
        <w:rPr>
          <w:b/>
          <w:sz w:val="22"/>
        </w:rPr>
        <w:t>Answer: d</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client with severe dyspnea?</w:t>
      </w:r>
    </w:p>
    <w:p>
      <w:pPr>
        <w:spacing w:after="0" w:before="0"/>
      </w:pPr>
      <w:r>
        <w:rPr>
          <w:b w:val="0"/>
          <w:sz w:val="22"/>
        </w:rPr>
        <w:t>(a) Trendelenburg position</w:t>
      </w:r>
    </w:p>
    <w:p>
      <w:pPr>
        <w:spacing w:after="0" w:before="0"/>
      </w:pPr>
      <w:r>
        <w:rPr>
          <w:b w:val="0"/>
          <w:sz w:val="22"/>
        </w:rPr>
        <w:t>(b) High Fowler's position</w:t>
      </w:r>
    </w:p>
    <w:p>
      <w:pPr>
        <w:spacing w:after="0" w:before="0"/>
      </w:pPr>
      <w:r>
        <w:rPr>
          <w:b w:val="0"/>
          <w:sz w:val="22"/>
        </w:rPr>
        <w:t>(c) Prone position</w:t>
      </w:r>
    </w:p>
    <w:p>
      <w:pPr>
        <w:spacing w:after="0" w:before="0"/>
      </w:pPr>
      <w:r>
        <w:rPr>
          <w:b w:val="0"/>
          <w:sz w:val="22"/>
        </w:rPr>
        <w:t>(d) Supine position</w:t>
      </w:r>
    </w:p>
    <w:p>
      <w:pPr>
        <w:spacing w:after="0" w:before="40"/>
      </w:pPr>
      <w:r>
        <w:rPr>
          <w:b/>
          <w:sz w:val="22"/>
        </w:rPr>
        <w:t>Answer: b</w:t>
      </w:r>
    </w:p>
    <w:p>
      <w:pPr>
        <w:spacing w:after="0" w:before="0"/>
      </w:pPr>
      <w:r>
        <w:rPr>
          <w:b w:val="0"/>
          <w:sz w:val="21"/>
        </w:rPr>
        <w:t>Solution: High Fowler's (sitting at 80-90°) maximizes chest expansion by allowing gravity to lower abdominal contents and is the position of choice for dyspnea.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route is preferred for the second dose of DPT (Diphtheria, Pertussis, Tetanus) vaccine?</w:t>
      </w:r>
    </w:p>
    <w:p>
      <w:pPr>
        <w:spacing w:after="0" w:before="0"/>
      </w:pPr>
      <w:r>
        <w:rPr>
          <w:b w:val="0"/>
          <w:sz w:val="22"/>
        </w:rPr>
        <w:t>(a) Gluteal</w:t>
      </w:r>
    </w:p>
    <w:p>
      <w:pPr>
        <w:spacing w:after="0" w:before="0"/>
      </w:pPr>
      <w:r>
        <w:rPr>
          <w:b w:val="0"/>
          <w:sz w:val="22"/>
        </w:rPr>
        <w:t>(b) Lateralis femoris</w:t>
      </w:r>
    </w:p>
    <w:p>
      <w:pPr>
        <w:spacing w:after="0" w:before="0"/>
      </w:pPr>
      <w:r>
        <w:rPr>
          <w:b w:val="0"/>
          <w:sz w:val="22"/>
        </w:rPr>
        <w:t>(c) Vastus lateralis</w:t>
      </w:r>
    </w:p>
    <w:p>
      <w:pPr>
        <w:spacing w:after="0" w:before="0"/>
      </w:pPr>
      <w:r>
        <w:rPr>
          <w:b w:val="0"/>
          <w:sz w:val="22"/>
        </w:rPr>
        <w:t>(d) Deltoid</w:t>
      </w:r>
    </w:p>
    <w:p>
      <w:pPr>
        <w:spacing w:after="0" w:before="40"/>
      </w:pPr>
      <w:r>
        <w:rPr>
          <w:b/>
          <w:sz w:val="22"/>
        </w:rPr>
        <w:t>Answer: c</w:t>
      </w:r>
    </w:p>
    <w:p>
      <w:pPr>
        <w:spacing w:after="0" w:before="0"/>
      </w:pPr>
      <w:r>
        <w:rPr>
          <w:b w:val="0"/>
          <w:sz w:val="21"/>
        </w:rPr>
        <w:t>Solution: The preferred route for the second dose of the DPT (Diphtheria, Pertussis, Tetanus) vaccine is the vastus lateralis muscle (option a). The vastus lateralis is one of the recommended sites for administering vaccines in infants and young children. It is located on the anterolateral aspect of the thigh and provides a suitable target for intramuscular injections. The DPT vaccine is typically given as a series of doses to provide immunity against diphtheria, pertussis (whooping cough), and tetanus. Ensuring proper injection technique, including appropriate site selection, is important for optimizing vaccine delivery and minimizing potential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factors is a common cause of fatty diarrhoea?</w:t>
      </w:r>
    </w:p>
    <w:p>
      <w:pPr>
        <w:spacing w:after="0" w:before="0"/>
      </w:pPr>
      <w:r>
        <w:rPr>
          <w:b w:val="0"/>
          <w:sz w:val="22"/>
        </w:rPr>
        <w:t>(a) Sucrose intolerance</w:t>
      </w:r>
    </w:p>
    <w:p>
      <w:pPr>
        <w:spacing w:after="0" w:before="0"/>
      </w:pPr>
      <w:r>
        <w:rPr>
          <w:b w:val="0"/>
          <w:sz w:val="22"/>
        </w:rPr>
        <w:t>(b) Bacterial and viral infection</w:t>
      </w:r>
    </w:p>
    <w:p>
      <w:pPr>
        <w:spacing w:after="0" w:before="0"/>
      </w:pPr>
      <w:r>
        <w:rPr>
          <w:b w:val="0"/>
          <w:sz w:val="22"/>
        </w:rPr>
        <w:t>(c) Lactose intolerance</w:t>
      </w:r>
    </w:p>
    <w:p>
      <w:pPr>
        <w:spacing w:after="0" w:before="0"/>
      </w:pPr>
      <w:r>
        <w:rPr>
          <w:b w:val="0"/>
          <w:sz w:val="22"/>
        </w:rPr>
        <w:t>(d) Celiac disease</w:t>
      </w:r>
    </w:p>
    <w:p>
      <w:pPr>
        <w:spacing w:after="0" w:before="40"/>
      </w:pPr>
      <w:r>
        <w:rPr>
          <w:b/>
          <w:sz w:val="22"/>
        </w:rPr>
        <w:t>Answer: d</w:t>
      </w:r>
    </w:p>
    <w:p>
      <w:pPr>
        <w:spacing w:after="0" w:before="0"/>
      </w:pPr>
      <w:r>
        <w:rPr>
          <w:b w:val="0"/>
          <w:sz w:val="21"/>
        </w:rPr>
        <w:t>Solution: Fatty diarrhoea (steatorrhoea) is a common feature of coeliac disease (malabsorption of fat).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SSPE complication occurs from which disease?</w:t>
      </w:r>
    </w:p>
    <w:p>
      <w:pPr>
        <w:spacing w:after="0" w:before="0"/>
      </w:pPr>
      <w:r>
        <w:rPr>
          <w:b w:val="0"/>
          <w:sz w:val="22"/>
        </w:rPr>
        <w:t>(a) Dengue</w:t>
      </w:r>
    </w:p>
    <w:p>
      <w:pPr>
        <w:spacing w:after="0" w:before="0"/>
      </w:pPr>
      <w:r>
        <w:rPr>
          <w:b w:val="0"/>
          <w:sz w:val="22"/>
        </w:rPr>
        <w:t>(b) Chickenpox</w:t>
      </w:r>
    </w:p>
    <w:p>
      <w:pPr>
        <w:spacing w:after="0" w:before="0"/>
      </w:pPr>
      <w:r>
        <w:rPr>
          <w:b w:val="0"/>
          <w:sz w:val="22"/>
        </w:rPr>
        <w:t>(c) Measles</w:t>
      </w:r>
    </w:p>
    <w:p>
      <w:pPr>
        <w:spacing w:after="0" w:before="0"/>
      </w:pPr>
      <w:r>
        <w:rPr>
          <w:b w:val="0"/>
          <w:sz w:val="22"/>
        </w:rPr>
        <w:t>(d) Rubella</w:t>
      </w:r>
    </w:p>
    <w:p>
      <w:pPr>
        <w:spacing w:after="0" w:before="40"/>
      </w:pPr>
      <w:r>
        <w:rPr>
          <w:b/>
          <w:sz w:val="22"/>
        </w:rPr>
        <w:t>Answer: c</w:t>
      </w:r>
    </w:p>
    <w:p>
      <w:pPr>
        <w:spacing w:after="0" w:before="0"/>
      </w:pPr>
      <w:r>
        <w:rPr>
          <w:b w:val="0"/>
          <w:sz w:val="21"/>
        </w:rPr>
        <w:t>Solution: SSPE (Subacute Sclerosing Panencephalitis) is a complication that occurs from the measles virus (option A). SSPE is a rare but serious progressive neurological disorder that affects individuals who have had measles infection, usually occurring several years after the initial infection. It is characterized by inflammation and degeneration of the brain. The exact cause of SSPE is not fully understood, but it is believed to result from persistent measles virus infection in the brain. Vaccination against measles is crucial for preventing SSPE and other complications associated with measles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IV Fluid</w:t>
      </w:r>
    </w:p>
    <w:p>
      <w:pPr>
        <w:spacing w:after="0" w:before="0"/>
      </w:pPr>
      <w:r>
        <w:rPr>
          <w:b w:val="0"/>
          <w:sz w:val="22"/>
        </w:rPr>
        <w:t>(b) Dopamine</w:t>
      </w:r>
    </w:p>
    <w:p>
      <w:pPr>
        <w:spacing w:after="0" w:before="0"/>
      </w:pPr>
      <w:r>
        <w:rPr>
          <w:b w:val="0"/>
          <w:sz w:val="22"/>
        </w:rPr>
        <w:t>(c) ADR</w:t>
      </w:r>
    </w:p>
    <w:p>
      <w:pPr>
        <w:spacing w:after="0" w:before="0"/>
      </w:pPr>
      <w:r>
        <w:rPr>
          <w:b w:val="0"/>
          <w:sz w:val="22"/>
        </w:rPr>
        <w:t>(d) NORAD</w:t>
      </w:r>
    </w:p>
    <w:p>
      <w:pPr>
        <w:spacing w:after="0" w:before="40"/>
      </w:pPr>
      <w:r>
        <w:rPr>
          <w:b/>
          <w:sz w:val="22"/>
        </w:rPr>
        <w:t>Answer: a</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DOC calcium</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Stop the infusion and Inform to the doctor</w:t>
      </w:r>
    </w:p>
    <w:p>
      <w:pPr>
        <w:spacing w:after="0" w:before="40"/>
      </w:pPr>
      <w:r>
        <w:rPr>
          <w:b/>
          <w:sz w:val="22"/>
        </w:rPr>
        <w:t>Answer: d</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should not be provided to the newborn in galactosemia?</w:t>
      </w:r>
    </w:p>
    <w:p>
      <w:pPr>
        <w:spacing w:after="0" w:before="0"/>
      </w:pPr>
      <w:r>
        <w:rPr>
          <w:b w:val="0"/>
          <w:sz w:val="22"/>
        </w:rPr>
        <w:t>(a) Starch</w:t>
      </w:r>
    </w:p>
    <w:p>
      <w:pPr>
        <w:spacing w:after="0" w:before="0"/>
      </w:pPr>
      <w:r>
        <w:rPr>
          <w:b w:val="0"/>
          <w:sz w:val="22"/>
        </w:rPr>
        <w:t>(b) Gluten</w:t>
      </w:r>
    </w:p>
    <w:p>
      <w:pPr>
        <w:spacing w:after="0" w:before="0"/>
      </w:pPr>
      <w:r>
        <w:rPr>
          <w:b w:val="0"/>
          <w:sz w:val="22"/>
        </w:rPr>
        <w:t>(c) Milk</w:t>
      </w:r>
    </w:p>
    <w:p>
      <w:pPr>
        <w:spacing w:after="0" w:before="0"/>
      </w:pPr>
      <w:r>
        <w:rPr>
          <w:b w:val="0"/>
          <w:sz w:val="22"/>
        </w:rPr>
        <w:t>(d) Glycogen</w:t>
      </w:r>
    </w:p>
    <w:p>
      <w:pPr>
        <w:spacing w:after="0" w:before="40"/>
      </w:pPr>
      <w:r>
        <w:rPr>
          <w:b/>
          <w:sz w:val="22"/>
        </w:rPr>
        <w:t>Answer: c</w:t>
      </w:r>
    </w:p>
    <w:p>
      <w:pPr>
        <w:spacing w:after="0" w:before="0"/>
      </w:pPr>
      <w:r>
        <w:rPr>
          <w:b w:val="0"/>
          <w:sz w:val="21"/>
        </w:rPr>
        <w:t>Solution: In galactosemia, milk (lactose) must be avoided as the infant cannot metabolise galactose.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primary prevention?</w:t>
      </w:r>
    </w:p>
    <w:p>
      <w:pPr>
        <w:spacing w:after="0" w:before="0"/>
      </w:pPr>
      <w:r>
        <w:rPr>
          <w:b w:val="0"/>
          <w:sz w:val="22"/>
        </w:rPr>
        <w:t>(a) Immunisation against measles</w:t>
      </w:r>
    </w:p>
    <w:p>
      <w:pPr>
        <w:spacing w:after="0" w:before="0"/>
      </w:pPr>
      <w:r>
        <w:rPr>
          <w:b w:val="0"/>
          <w:sz w:val="22"/>
        </w:rPr>
        <w:t>(b) Screening for hypertension</w:t>
      </w:r>
    </w:p>
    <w:p>
      <w:pPr>
        <w:spacing w:after="0" w:before="0"/>
      </w:pPr>
      <w:r>
        <w:rPr>
          <w:b w:val="0"/>
          <w:sz w:val="22"/>
        </w:rPr>
        <w:t>(c) Rehabilitation after stroke</w:t>
      </w:r>
    </w:p>
    <w:p>
      <w:pPr>
        <w:spacing w:after="0" w:before="0"/>
      </w:pPr>
      <w:r>
        <w:rPr>
          <w:b w:val="0"/>
          <w:sz w:val="22"/>
        </w:rPr>
        <w:t>(d) Early treatment of tuberculosis</w:t>
      </w:r>
    </w:p>
    <w:p>
      <w:pPr>
        <w:spacing w:after="0" w:before="40"/>
      </w:pPr>
      <w:r>
        <w:rPr>
          <w:b/>
          <w:sz w:val="22"/>
        </w:rPr>
        <w:t>Answer: a</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