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Corona virus has spread worldwide. This is known as:</w:t>
      </w:r>
    </w:p>
    <w:p>
      <w:pPr>
        <w:spacing w:after="0" w:before="0"/>
      </w:pPr>
      <w:r>
        <w:rPr>
          <w:b w:val="0"/>
          <w:sz w:val="22"/>
        </w:rPr>
        <w:t>(a) Epidemic</w:t>
      </w:r>
    </w:p>
    <w:p>
      <w:pPr>
        <w:spacing w:after="0" w:before="0"/>
      </w:pPr>
      <w:r>
        <w:rPr>
          <w:b w:val="0"/>
          <w:sz w:val="22"/>
        </w:rPr>
        <w:t>(b) Endemic</w:t>
      </w:r>
    </w:p>
    <w:p>
      <w:pPr>
        <w:spacing w:after="0" w:before="0"/>
      </w:pPr>
      <w:r>
        <w:rPr>
          <w:b w:val="0"/>
          <w:sz w:val="22"/>
        </w:rPr>
        <w:t>(c) Pandemic</w:t>
      </w:r>
    </w:p>
    <w:p>
      <w:pPr>
        <w:spacing w:after="0" w:before="0"/>
      </w:pPr>
      <w:r>
        <w:rPr>
          <w:b w:val="0"/>
          <w:sz w:val="22"/>
        </w:rPr>
        <w:t>(d) Zoonotic</w:t>
      </w:r>
    </w:p>
    <w:p>
      <w:pPr>
        <w:spacing w:after="0" w:before="40"/>
      </w:pPr>
      <w:r>
        <w:rPr>
          <w:b/>
          <w:sz w:val="22"/>
        </w:rPr>
        <w:t>Answer: c</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statements regarding COVID-19 infection is INCORRECT?</w:t>
      </w:r>
    </w:p>
    <w:p>
      <w:pPr>
        <w:spacing w:after="0" w:before="0"/>
      </w:pPr>
      <w:r>
        <w:rPr>
          <w:b w:val="0"/>
          <w:sz w:val="22"/>
        </w:rPr>
        <w:t>(a) Severe COVID-19 infection can lead to ARDS</w:t>
      </w:r>
    </w:p>
    <w:p>
      <w:pPr>
        <w:spacing w:after="0" w:before="0"/>
      </w:pPr>
      <w:r>
        <w:rPr>
          <w:b w:val="0"/>
          <w:sz w:val="22"/>
        </w:rPr>
        <w:t>(b) Common symptoms include fever, dry cough, and dyspnea</w:t>
      </w:r>
    </w:p>
    <w:p>
      <w:pPr>
        <w:spacing w:after="0" w:before="0"/>
      </w:pPr>
      <w:r>
        <w:rPr>
          <w:b w:val="0"/>
          <w:sz w:val="22"/>
        </w:rPr>
        <w:t>(c) Transmitted via respiratory droplets and fomites</w:t>
      </w:r>
    </w:p>
    <w:p>
      <w:pPr>
        <w:spacing w:after="0" w:before="0"/>
      </w:pPr>
      <w:r>
        <w:rPr>
          <w:b w:val="0"/>
          <w:sz w:val="22"/>
        </w:rPr>
        <w:t>(d) COVID-19 belongs to the HIV/Hepatitis retrovirus family</w:t>
      </w:r>
    </w:p>
    <w:p>
      <w:pPr>
        <w:spacing w:after="0" w:before="40"/>
      </w:pPr>
      <w:r>
        <w:rPr>
          <w:b/>
          <w:sz w:val="22"/>
        </w:rPr>
        <w:t>Answer: d</w:t>
      </w:r>
    </w:p>
    <w:p>
      <w:pPr>
        <w:spacing w:after="0" w:before="0"/>
      </w:pPr>
      <w:r>
        <w:rPr>
          <w:b w:val="0"/>
          <w:sz w:val="21"/>
        </w:rPr>
        <w:t>Solution: COVID-19 is caused by SARS-CoV-2, an enveloped single-stranded RNA Coronavirus, NOT a retrovirus or Hepatitis virus.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Bone marrow aspiration in children</w:t>
      </w:r>
    </w:p>
    <w:p>
      <w:pPr>
        <w:spacing w:after="0" w:before="0"/>
      </w:pPr>
      <w:r>
        <w:rPr>
          <w:b w:val="0"/>
          <w:sz w:val="22"/>
        </w:rPr>
        <w:t>(a) Ribs</w:t>
      </w:r>
    </w:p>
    <w:p>
      <w:pPr>
        <w:spacing w:after="0" w:before="0"/>
      </w:pPr>
      <w:r>
        <w:rPr>
          <w:b w:val="0"/>
          <w:sz w:val="22"/>
        </w:rPr>
        <w:t>(b) Sternum</w:t>
      </w:r>
    </w:p>
    <w:p>
      <w:pPr>
        <w:spacing w:after="0" w:before="0"/>
      </w:pPr>
      <w:r>
        <w:rPr>
          <w:b w:val="0"/>
          <w:sz w:val="22"/>
        </w:rPr>
        <w:t>(c) Posterior Superior iliac crest</w:t>
      </w:r>
    </w:p>
    <w:p>
      <w:pPr>
        <w:spacing w:after="0" w:before="0"/>
      </w:pPr>
      <w:r>
        <w:rPr>
          <w:b w:val="0"/>
          <w:sz w:val="22"/>
        </w:rPr>
        <w:t>(d) Proximal tibia</w:t>
      </w:r>
    </w:p>
    <w:p>
      <w:pPr>
        <w:spacing w:after="0" w:before="40"/>
      </w:pPr>
      <w:r>
        <w:rPr>
          <w:b/>
          <w:sz w:val="22"/>
        </w:rPr>
        <w:t>Answer: c</w:t>
      </w:r>
    </w:p>
    <w:p>
      <w:pPr>
        <w:spacing w:after="0" w:before="0"/>
      </w:pPr>
      <w:r>
        <w:rPr>
          <w:b w:val="0"/>
          <w:sz w:val="21"/>
        </w:rPr>
        <w:t>Solution: Bone marrow aspiration in children is preferably done from the posterior superior iliac crest (sternum is avoided in children).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Enteric fever</w:t>
      </w:r>
    </w:p>
    <w:p>
      <w:pPr>
        <w:spacing w:after="0" w:before="0"/>
      </w:pPr>
      <w:r>
        <w:rPr>
          <w:b w:val="0"/>
          <w:sz w:val="22"/>
        </w:rPr>
        <w:t>(b) Rheumatic fever</w:t>
      </w:r>
    </w:p>
    <w:p>
      <w:pPr>
        <w:spacing w:after="0" w:before="0"/>
      </w:pPr>
      <w:r>
        <w:rPr>
          <w:b w:val="0"/>
          <w:sz w:val="22"/>
        </w:rPr>
        <w:t>(c) Dengue fever</w:t>
      </w:r>
    </w:p>
    <w:p>
      <w:pPr>
        <w:spacing w:after="0" w:before="0"/>
      </w:pPr>
      <w:r>
        <w:rPr>
          <w:b w:val="0"/>
          <w:sz w:val="22"/>
        </w:rPr>
        <w:t>(d) Hay fever</w:t>
      </w:r>
    </w:p>
    <w:p>
      <w:pPr>
        <w:spacing w:after="0" w:before="40"/>
      </w:pPr>
      <w:r>
        <w:rPr>
          <w:b/>
          <w:sz w:val="22"/>
        </w:rPr>
        <w:t>Answer: a</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most leading cause of under 5 children infection in worldwide?</w:t>
      </w:r>
    </w:p>
    <w:p>
      <w:pPr>
        <w:spacing w:after="0" w:before="0"/>
      </w:pPr>
      <w:r>
        <w:rPr>
          <w:b w:val="0"/>
          <w:sz w:val="22"/>
        </w:rPr>
        <w:t>(a) Diarrhoea</w:t>
      </w:r>
    </w:p>
    <w:p>
      <w:pPr>
        <w:spacing w:after="0" w:before="0"/>
      </w:pPr>
      <w:r>
        <w:rPr>
          <w:b w:val="0"/>
          <w:sz w:val="22"/>
        </w:rPr>
        <w:t>(b) Pneumonia</w:t>
      </w:r>
    </w:p>
    <w:p>
      <w:pPr>
        <w:spacing w:after="0" w:before="0"/>
      </w:pPr>
      <w:r>
        <w:rPr>
          <w:b w:val="0"/>
          <w:sz w:val="22"/>
        </w:rPr>
        <w:t>(c) Birthasphyxia</w:t>
      </w:r>
    </w:p>
    <w:p>
      <w:pPr>
        <w:spacing w:after="0" w:before="0"/>
      </w:pPr>
      <w:r>
        <w:rPr>
          <w:b w:val="0"/>
          <w:sz w:val="22"/>
        </w:rPr>
        <w:t>(d) URTI</w:t>
      </w:r>
    </w:p>
    <w:p>
      <w:pPr>
        <w:spacing w:after="0" w:before="40"/>
      </w:pPr>
      <w:r>
        <w:rPr>
          <w:b/>
          <w:sz w:val="22"/>
        </w:rPr>
        <w:t>Answer: b</w:t>
      </w:r>
    </w:p>
    <w:p>
      <w:pPr>
        <w:spacing w:after="0" w:before="0"/>
      </w:pPr>
      <w:r>
        <w:rPr>
          <w:b w:val="0"/>
          <w:sz w:val="21"/>
        </w:rPr>
        <w:t>Solution: Pneumonia is the leading infectious cause of death in children under 5 years worldwide, accounting for about 14% of all deaths in this age group.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ORS (Oral Rehydration Solution) should be given in acute diarrhoea:</w:t>
      </w:r>
    </w:p>
    <w:p>
      <w:pPr>
        <w:spacing w:after="0" w:before="0"/>
      </w:pPr>
      <w:r>
        <w:rPr>
          <w:b w:val="0"/>
          <w:sz w:val="22"/>
        </w:rPr>
        <w:t>(a) Only when the child is hospitalised</w:t>
      </w:r>
    </w:p>
    <w:p>
      <w:pPr>
        <w:spacing w:after="0" w:before="0"/>
      </w:pPr>
      <w:r>
        <w:rPr>
          <w:b w:val="0"/>
          <w:sz w:val="22"/>
        </w:rPr>
        <w:t>(b) After every loose stool in small amounts</w:t>
      </w:r>
    </w:p>
    <w:p>
      <w:pPr>
        <w:spacing w:after="0" w:before="0"/>
      </w:pPr>
      <w:r>
        <w:rPr>
          <w:b w:val="0"/>
          <w:sz w:val="22"/>
        </w:rPr>
        <w:t>(c) Only with antibiotics</w:t>
      </w:r>
    </w:p>
    <w:p>
      <w:pPr>
        <w:spacing w:after="0" w:before="0"/>
      </w:pPr>
      <w:r>
        <w:rPr>
          <w:b w:val="0"/>
          <w:sz w:val="22"/>
        </w:rPr>
        <w:t>(d) Only if the child is vomiting</w:t>
      </w:r>
    </w:p>
    <w:p>
      <w:pPr>
        <w:spacing w:after="0" w:before="40"/>
      </w:pPr>
      <w:r>
        <w:rPr>
          <w:b/>
          <w:sz w:val="22"/>
        </w:rPr>
        <w:t>Answer: b</w:t>
      </w:r>
    </w:p>
    <w:p>
      <w:pPr>
        <w:spacing w:after="0" w:before="0"/>
      </w:pPr>
      <w:r>
        <w:rPr>
          <w:b w:val="0"/>
          <w:sz w:val="21"/>
        </w:rPr>
        <w:t>Solution: ORS is given after each loose stool (about 50-100 ml per stool for a young child) to prevent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cut-off range of axillary temperature for hypothermia in children?</w:t>
      </w:r>
    </w:p>
    <w:p>
      <w:pPr>
        <w:spacing w:after="0" w:before="0"/>
      </w:pPr>
      <w:r>
        <w:rPr>
          <w:b w:val="0"/>
          <w:sz w:val="22"/>
        </w:rPr>
        <w:t>(a) 36.5°C</w:t>
      </w:r>
    </w:p>
    <w:p>
      <w:pPr>
        <w:spacing w:after="0" w:before="0"/>
      </w:pPr>
      <w:r>
        <w:rPr>
          <w:b w:val="0"/>
          <w:sz w:val="22"/>
        </w:rPr>
        <w:t>(b) 36.0°C</w:t>
      </w:r>
    </w:p>
    <w:p>
      <w:pPr>
        <w:spacing w:after="0" w:before="0"/>
      </w:pPr>
      <w:r>
        <w:rPr>
          <w:b w:val="0"/>
          <w:sz w:val="22"/>
        </w:rPr>
        <w:t>(c) 35.0°C</w:t>
      </w:r>
    </w:p>
    <w:p>
      <w:pPr>
        <w:spacing w:after="0" w:before="0"/>
      </w:pPr>
      <w:r>
        <w:rPr>
          <w:b w:val="0"/>
          <w:sz w:val="22"/>
        </w:rPr>
        <w:t>(d) 37.0°C</w:t>
      </w:r>
    </w:p>
    <w:p>
      <w:pPr>
        <w:spacing w:after="0" w:before="40"/>
      </w:pPr>
      <w:r>
        <w:rPr>
          <w:b/>
          <w:sz w:val="22"/>
        </w:rPr>
        <w:t>Answer: a</w:t>
      </w:r>
    </w:p>
    <w:p>
      <w:pPr>
        <w:spacing w:after="0" w:before="0"/>
      </w:pPr>
      <w:r>
        <w:rPr>
          <w:b w:val="0"/>
          <w:sz w:val="21"/>
        </w:rPr>
        <w:t>Solution: Hypothermia in children is defined as an axillary temperature below 36.5°C; a temperature below 35°C indicates severe hypothermia.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Blood urea nitrogen 42 mg/dL</w:t>
      </w:r>
    </w:p>
    <w:p>
      <w:pPr>
        <w:spacing w:after="0" w:before="0"/>
      </w:pPr>
      <w:r>
        <w:rPr>
          <w:b w:val="0"/>
          <w:sz w:val="22"/>
        </w:rPr>
        <w:t>(b) Serum potassium 6.8 mEq/L</w:t>
      </w:r>
    </w:p>
    <w:p>
      <w:pPr>
        <w:spacing w:after="0" w:before="0"/>
      </w:pPr>
      <w:r>
        <w:rPr>
          <w:b w:val="0"/>
          <w:sz w:val="22"/>
        </w:rPr>
        <w:t>(c) Serum creatinine 2.4 mg/dL</w:t>
      </w:r>
    </w:p>
    <w:p>
      <w:pPr>
        <w:spacing w:after="0" w:before="0"/>
      </w:pPr>
      <w:r>
        <w:rPr>
          <w:b w:val="0"/>
          <w:sz w:val="22"/>
        </w:rPr>
        <w:t>(d) Hemoglobin 10.2 g/dL</w:t>
      </w:r>
    </w:p>
    <w:p>
      <w:pPr>
        <w:spacing w:after="0" w:before="40"/>
      </w:pPr>
      <w:r>
        <w:rPr>
          <w:b/>
          <w:sz w:val="22"/>
        </w:rPr>
        <w:t>Answer: b</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neonatal heart rate</w:t>
      </w:r>
    </w:p>
    <w:p>
      <w:pPr>
        <w:spacing w:after="0" w:before="0"/>
      </w:pPr>
      <w:r>
        <w:rPr>
          <w:b w:val="0"/>
          <w:sz w:val="22"/>
        </w:rPr>
        <w:t>(a) 160-200 BPM</w:t>
      </w:r>
    </w:p>
    <w:p>
      <w:pPr>
        <w:spacing w:after="0" w:before="0"/>
      </w:pPr>
      <w:r>
        <w:rPr>
          <w:b w:val="0"/>
          <w:sz w:val="22"/>
        </w:rPr>
        <w:t>(b) 80-100 BPM</w:t>
      </w:r>
    </w:p>
    <w:p>
      <w:pPr>
        <w:spacing w:after="0" w:before="0"/>
      </w:pPr>
      <w:r>
        <w:rPr>
          <w:b w:val="0"/>
          <w:sz w:val="22"/>
        </w:rPr>
        <w:t>(c) 120-160 BPM</w:t>
      </w:r>
    </w:p>
    <w:p>
      <w:pPr>
        <w:spacing w:after="0" w:before="0"/>
      </w:pPr>
      <w:r>
        <w:rPr>
          <w:b w:val="0"/>
          <w:sz w:val="22"/>
        </w:rPr>
        <w:t>(d) 100-120 BPM</w:t>
      </w:r>
    </w:p>
    <w:p>
      <w:pPr>
        <w:spacing w:after="0" w:before="40"/>
      </w:pPr>
      <w:r>
        <w:rPr>
          <w:b/>
          <w:sz w:val="22"/>
        </w:rPr>
        <w:t>Answer: c</w:t>
      </w:r>
    </w:p>
    <w:p>
      <w:pPr>
        <w:spacing w:after="0" w:before="0"/>
      </w:pPr>
      <w:r>
        <w:rPr>
          <w:b w:val="0"/>
          <w:sz w:val="21"/>
        </w:rPr>
        <w:t>Solution: The normal neonatal heart rate ranges from 120 to 160 beats per minute (BPM). The heart rate in newborns is generally faster than in older children and adults due to the higher metabolic demands of their developing bodies. The heart rate can vary within this range depending on the baby's activity level, sleep state, and response to stimulation. Monitoring the heart rate in neonates is an essential part of assessing their cardiovascular function and overall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calls the emergency room (ER) frantically reporting that her 3-year-old girl child has found eating pills out of a bottle in the medicine cabinet. Which action should the emergency room nurse suggest to the mother?</w:t>
      </w:r>
    </w:p>
    <w:p>
      <w:pPr>
        <w:spacing w:after="0" w:before="0"/>
      </w:pPr>
      <w:r>
        <w:rPr>
          <w:b w:val="0"/>
          <w:sz w:val="22"/>
        </w:rPr>
        <w:t>(a) Bring the child to the emergency department immediately</w:t>
      </w:r>
    </w:p>
    <w:p>
      <w:pPr>
        <w:spacing w:after="0" w:before="0"/>
      </w:pPr>
      <w:r>
        <w:rPr>
          <w:b w:val="0"/>
          <w:sz w:val="22"/>
        </w:rPr>
        <w:t>(b) Give the child 10 ml of syrup of ipecac with a sip of water</w:t>
      </w:r>
    </w:p>
    <w:p>
      <w:pPr>
        <w:spacing w:after="0" w:before="0"/>
      </w:pPr>
      <w:r>
        <w:rPr>
          <w:b w:val="0"/>
          <w:sz w:val="22"/>
        </w:rPr>
        <w:t>(c) Give the child 1 cup of water to induce vomiting</w:t>
      </w:r>
    </w:p>
    <w:p>
      <w:pPr>
        <w:spacing w:after="0" w:before="0"/>
      </w:pPr>
      <w:r>
        <w:rPr>
          <w:b w:val="0"/>
          <w:sz w:val="22"/>
        </w:rPr>
        <w:t>(d) Give the child 15 ml of syrup of ipecac immediately</w:t>
      </w:r>
    </w:p>
    <w:p>
      <w:pPr>
        <w:spacing w:after="0" w:before="40"/>
      </w:pPr>
      <w:r>
        <w:rPr>
          <w:b/>
          <w:sz w:val="22"/>
        </w:rPr>
        <w:t>Answer: a</w:t>
      </w:r>
    </w:p>
    <w:p>
      <w:pPr>
        <w:spacing w:after="0" w:before="0"/>
      </w:pPr>
      <w:r>
        <w:rPr>
          <w:b w:val="0"/>
          <w:sz w:val="21"/>
        </w:rPr>
        <w:t>Solution: According to the American Academy of Pediatrics, syrup of ipecac is no longer recommended for the routine management of pediatric poisoning. It is associated with vomiting, which can be dangerous, especially in cases of hydrocarbon or caustic substance ingestion. The first priority is to assess the child's level of consciousness, breathing, and vital signs. The nurse should instruct the mother to bring the child to the emergency department immediately. If the child is conscious, the nurse should instruct the mother to try to identify the medication and the amount the child ingested. This information will be crucial in determining the appropriate treatment for the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Tracheoesophageal fistula</w:t>
      </w:r>
    </w:p>
    <w:p>
      <w:pPr>
        <w:spacing w:after="0" w:before="0"/>
      </w:pPr>
      <w:r>
        <w:rPr>
          <w:b w:val="0"/>
          <w:sz w:val="22"/>
        </w:rPr>
        <w:t>(b) Asthma</w:t>
      </w:r>
    </w:p>
    <w:p>
      <w:pPr>
        <w:spacing w:after="0" w:before="0"/>
      </w:pPr>
      <w:r>
        <w:rPr>
          <w:b w:val="0"/>
          <w:sz w:val="22"/>
        </w:rPr>
        <w:t>(c) Pulmonary edema</w:t>
      </w:r>
    </w:p>
    <w:p>
      <w:pPr>
        <w:spacing w:after="0" w:before="0"/>
      </w:pPr>
      <w:r>
        <w:rPr>
          <w:b w:val="0"/>
          <w:sz w:val="22"/>
        </w:rPr>
        <w:t>(d) Comatose patient</w:t>
      </w:r>
    </w:p>
    <w:p>
      <w:pPr>
        <w:spacing w:after="0" w:before="40"/>
      </w:pPr>
      <w:r>
        <w:rPr>
          <w:b/>
          <w:sz w:val="22"/>
        </w:rPr>
        <w:t>Answer: a</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Endotracheal tube formula for uncuffed child</w:t>
      </w:r>
    </w:p>
    <w:p>
      <w:pPr>
        <w:spacing w:after="0" w:before="0"/>
      </w:pPr>
      <w:r>
        <w:rPr>
          <w:b w:val="0"/>
          <w:sz w:val="22"/>
        </w:rPr>
        <w:t>(a) (age in years/3.5) + 3.5</w:t>
      </w:r>
    </w:p>
    <w:p>
      <w:pPr>
        <w:spacing w:after="0" w:before="0"/>
      </w:pPr>
      <w:r>
        <w:rPr>
          <w:b w:val="0"/>
          <w:sz w:val="22"/>
        </w:rPr>
        <w:t>(b) (age in years/4) + 4</w:t>
      </w:r>
    </w:p>
    <w:p>
      <w:pPr>
        <w:spacing w:after="0" w:before="0"/>
      </w:pPr>
      <w:r>
        <w:rPr>
          <w:b w:val="0"/>
          <w:sz w:val="22"/>
        </w:rPr>
        <w:t>(c) (age in years/4) + 3.5</w:t>
      </w:r>
    </w:p>
    <w:p>
      <w:pPr>
        <w:spacing w:after="0" w:before="0"/>
      </w:pPr>
      <w:r>
        <w:rPr>
          <w:b w:val="0"/>
          <w:sz w:val="22"/>
        </w:rPr>
        <w:t>(d) (age in years/3.5) + 4</w:t>
      </w:r>
    </w:p>
    <w:p>
      <w:pPr>
        <w:spacing w:after="0" w:before="40"/>
      </w:pPr>
      <w:r>
        <w:rPr>
          <w:b/>
          <w:sz w:val="22"/>
        </w:rPr>
        <w:t>Answer: b</w:t>
      </w:r>
    </w:p>
    <w:p>
      <w:pPr>
        <w:spacing w:after="0" w:before="0"/>
      </w:pPr>
      <w:r>
        <w:rPr>
          <w:b w:val="0"/>
          <w:sz w:val="21"/>
        </w:rPr>
        <w:t>Solution: The uncuffed endotracheal tube size for children = (age in years/4) + 4.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Mean</w:t>
      </w:r>
    </w:p>
    <w:p>
      <w:pPr>
        <w:spacing w:after="0" w:before="0"/>
      </w:pPr>
      <w:r>
        <w:rPr>
          <w:b w:val="0"/>
          <w:sz w:val="22"/>
        </w:rPr>
        <w:t>(b) Median</w:t>
      </w:r>
    </w:p>
    <w:p>
      <w:pPr>
        <w:spacing w:after="0" w:before="0"/>
      </w:pPr>
      <w:r>
        <w:rPr>
          <w:b w:val="0"/>
          <w:sz w:val="22"/>
        </w:rPr>
        <w:t>(c) Mode</w:t>
      </w:r>
    </w:p>
    <w:p>
      <w:pPr>
        <w:spacing w:after="0" w:before="0"/>
      </w:pPr>
      <w:r>
        <w:rPr>
          <w:b w:val="0"/>
          <w:sz w:val="22"/>
        </w:rPr>
        <w:t>(d) Standard deviation</w:t>
      </w:r>
    </w:p>
    <w:p>
      <w:pPr>
        <w:spacing w:after="0" w:before="40"/>
      </w:pPr>
      <w:r>
        <w:rPr>
          <w:b/>
          <w:sz w:val="22"/>
        </w:rPr>
        <w:t>Answer: b</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From following, which is the appropriate method of holding the baby for breast-feeding?</w:t>
      </w:r>
    </w:p>
    <w:p>
      <w:pPr>
        <w:spacing w:after="0" w:before="0"/>
      </w:pPr>
      <w:r>
        <w:rPr>
          <w:b w:val="0"/>
          <w:sz w:val="22"/>
        </w:rPr>
        <w:t>(a) hold only neck</w:t>
      </w:r>
    </w:p>
    <w:p>
      <w:pPr>
        <w:spacing w:after="0" w:before="0"/>
      </w:pPr>
      <w:r>
        <w:rPr>
          <w:b w:val="0"/>
          <w:sz w:val="22"/>
        </w:rPr>
        <w:t>(b) hold baby giving support to whole body</w:t>
      </w:r>
    </w:p>
    <w:p>
      <w:pPr>
        <w:spacing w:after="0" w:before="0"/>
      </w:pPr>
      <w:r>
        <w:rPr>
          <w:b w:val="0"/>
          <w:sz w:val="22"/>
        </w:rPr>
        <w:t>(c) hold baby's lower part</w:t>
      </w:r>
    </w:p>
    <w:p>
      <w:pPr>
        <w:spacing w:after="0" w:before="0"/>
      </w:pPr>
      <w:r>
        <w:rPr>
          <w:b w:val="0"/>
          <w:sz w:val="22"/>
        </w:rPr>
        <w:t>(d) hold baby in upright position</w:t>
      </w:r>
    </w:p>
    <w:p>
      <w:pPr>
        <w:spacing w:after="0" w:before="40"/>
      </w:pPr>
      <w:r>
        <w:rPr>
          <w:b/>
          <w:sz w:val="22"/>
        </w:rPr>
        <w:t>Answer: b</w:t>
      </w:r>
    </w:p>
    <w:p>
      <w:pPr>
        <w:spacing w:after="0" w:before="0"/>
      </w:pPr>
      <w:r>
        <w:rPr>
          <w:b w:val="0"/>
          <w:sz w:val="21"/>
        </w:rPr>
        <w:t>Solution: The mother should hold the baby giving support to the whole body during breastfeeding.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Formula of measure the ET tube size in children?</w:t>
      </w:r>
    </w:p>
    <w:p>
      <w:pPr>
        <w:spacing w:after="0" w:before="0"/>
      </w:pPr>
      <w:r>
        <w:rPr>
          <w:b w:val="0"/>
          <w:sz w:val="22"/>
        </w:rPr>
        <w:t>(a) Age/6 year+3.5</w:t>
      </w:r>
    </w:p>
    <w:p>
      <w:pPr>
        <w:spacing w:after="0" w:before="0"/>
      </w:pPr>
      <w:r>
        <w:rPr>
          <w:b w:val="0"/>
          <w:sz w:val="22"/>
        </w:rPr>
        <w:t>(b) Age/36 month+4</w:t>
      </w:r>
    </w:p>
    <w:p>
      <w:pPr>
        <w:spacing w:after="0" w:before="0"/>
      </w:pPr>
      <w:r>
        <w:rPr>
          <w:b w:val="0"/>
          <w:sz w:val="22"/>
        </w:rPr>
        <w:t>(c) Age/18 month+4</w:t>
      </w:r>
    </w:p>
    <w:p>
      <w:pPr>
        <w:spacing w:after="0" w:before="0"/>
      </w:pPr>
      <w:r>
        <w:rPr>
          <w:b w:val="0"/>
          <w:sz w:val="22"/>
        </w:rPr>
        <w:t>(d) Age/4 year +4</w:t>
      </w:r>
    </w:p>
    <w:p>
      <w:pPr>
        <w:spacing w:after="0" w:before="40"/>
      </w:pPr>
      <w:r>
        <w:rPr>
          <w:b/>
          <w:sz w:val="22"/>
        </w:rPr>
        <w:t>Answer: d</w:t>
      </w:r>
    </w:p>
    <w:p>
      <w:pPr>
        <w:spacing w:after="0" w:before="0"/>
      </w:pPr>
      <w:r>
        <w:rPr>
          <w:b w:val="0"/>
          <w:sz w:val="21"/>
        </w:rPr>
        <w:t>Solution: Estimation of proper endotracheal tube size for children 1 to 10 years of age, based on the child's age: Uncuffed endotracheal tube size (mm ID) = (age in years/4) + 4. Cuffed endotracheal tube size (mm ID) = (age in years/4) + 3. The average size of the tube for an adult male is 8.0, and an adult female is 7.0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Attempt manual removal</w:t>
      </w:r>
    </w:p>
    <w:p>
      <w:pPr>
        <w:spacing w:after="0" w:before="0"/>
      </w:pPr>
      <w:r>
        <w:rPr>
          <w:b w:val="0"/>
          <w:sz w:val="22"/>
        </w:rPr>
        <w:t>(b) Cover with tight pressure patch</w:t>
      </w:r>
    </w:p>
    <w:p>
      <w:pPr>
        <w:spacing w:after="0" w:before="0"/>
      </w:pPr>
      <w:r>
        <w:rPr>
          <w:b w:val="0"/>
          <w:sz w:val="22"/>
        </w:rPr>
        <w:t>(c) Copious eye irrigation with clean water or Normal Saline for 15-20 mins</w:t>
      </w:r>
    </w:p>
    <w:p>
      <w:pPr>
        <w:spacing w:after="0" w:before="0"/>
      </w:pPr>
      <w:r>
        <w:rPr>
          <w:b w:val="0"/>
          <w:sz w:val="22"/>
        </w:rPr>
        <w:t>(d) Administer oral analgesics</w:t>
      </w:r>
    </w:p>
    <w:p>
      <w:pPr>
        <w:spacing w:after="0" w:before="40"/>
      </w:pPr>
      <w:r>
        <w:rPr>
          <w:b/>
          <w:sz w:val="22"/>
        </w:rPr>
        <w:t>Answer: c</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least common cause of congestive cardiac failure in children?</w:t>
      </w:r>
    </w:p>
    <w:p>
      <w:pPr>
        <w:spacing w:after="0" w:before="0"/>
      </w:pPr>
      <w:r>
        <w:rPr>
          <w:b w:val="0"/>
          <w:sz w:val="22"/>
        </w:rPr>
        <w:t>(a) PDA</w:t>
      </w:r>
    </w:p>
    <w:p>
      <w:pPr>
        <w:spacing w:after="0" w:before="0"/>
      </w:pPr>
      <w:r>
        <w:rPr>
          <w:b w:val="0"/>
          <w:sz w:val="22"/>
        </w:rPr>
        <w:t>(b) VSD</w:t>
      </w:r>
    </w:p>
    <w:p>
      <w:pPr>
        <w:spacing w:after="0" w:before="0"/>
      </w:pPr>
      <w:r>
        <w:rPr>
          <w:b w:val="0"/>
          <w:sz w:val="22"/>
        </w:rPr>
        <w:t>(c) Transposition of Great Arteries</w:t>
      </w:r>
    </w:p>
    <w:p>
      <w:pPr>
        <w:spacing w:after="0" w:before="0"/>
      </w:pPr>
      <w:r>
        <w:rPr>
          <w:b w:val="0"/>
          <w:sz w:val="22"/>
        </w:rPr>
        <w:t>(d) ASD</w:t>
      </w:r>
    </w:p>
    <w:p>
      <w:pPr>
        <w:spacing w:after="0" w:before="40"/>
      </w:pPr>
      <w:r>
        <w:rPr>
          <w:b/>
          <w:sz w:val="22"/>
        </w:rPr>
        <w:t>Answer: d</w:t>
      </w:r>
    </w:p>
    <w:p>
      <w:pPr>
        <w:spacing w:after="0" w:before="0"/>
      </w:pPr>
      <w:r>
        <w:rPr>
          <w:b w:val="0"/>
          <w:sz w:val="21"/>
        </w:rPr>
        <w:t>Solution: ASD usually remains asymptomatic in childhood and rarely causes cardiac failure, whereas VSD, PDA and transposition of the great arteries commonly cause heart failure in infancy.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thoracentesis (pleural fluid aspiration), in which position should the nurse place the patient?</w:t>
      </w:r>
    </w:p>
    <w:p>
      <w:pPr>
        <w:spacing w:after="0" w:before="0"/>
      </w:pPr>
      <w:r>
        <w:rPr>
          <w:b w:val="0"/>
          <w:sz w:val="22"/>
        </w:rPr>
        <w:t>(a) Side-lying on the affected side</w:t>
      </w:r>
    </w:p>
    <w:p>
      <w:pPr>
        <w:spacing w:after="0" w:before="0"/>
      </w:pPr>
      <w:r>
        <w:rPr>
          <w:b w:val="0"/>
          <w:sz w:val="22"/>
        </w:rPr>
        <w:t>(b) Prone position</w:t>
      </w:r>
    </w:p>
    <w:p>
      <w:pPr>
        <w:spacing w:after="0" w:before="0"/>
      </w:pPr>
      <w:r>
        <w:rPr>
          <w:b w:val="0"/>
          <w:sz w:val="22"/>
        </w:rPr>
        <w:t>(c) Side-lying on the unaffected side with puncture site up</w:t>
      </w:r>
    </w:p>
    <w:p>
      <w:pPr>
        <w:spacing w:after="0" w:before="0"/>
      </w:pPr>
      <w:r>
        <w:rPr>
          <w:b w:val="0"/>
          <w:sz w:val="22"/>
        </w:rPr>
        <w:t>(d) Trendelenburg position</w:t>
      </w:r>
    </w:p>
    <w:p>
      <w:pPr>
        <w:spacing w:after="0" w:before="40"/>
      </w:pPr>
      <w:r>
        <w:rPr>
          <w:b/>
          <w:sz w:val="22"/>
        </w:rPr>
        <w:t>Answer: c</w:t>
      </w:r>
    </w:p>
    <w:p>
      <w:pPr>
        <w:spacing w:after="0" w:before="0"/>
      </w:pPr>
      <w:r>
        <w:rPr>
          <w:b w:val="0"/>
          <w:sz w:val="21"/>
        </w:rPr>
        <w:t>Solution: Positioning on the unaffected side with puncture site elevated for 1 hour promotes lung expansion and reduces leakage from the puncture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Nasal flaring</w:t>
      </w:r>
    </w:p>
    <w:p>
      <w:pPr>
        <w:spacing w:after="0" w:before="0"/>
      </w:pPr>
      <w:r>
        <w:rPr>
          <w:b w:val="0"/>
          <w:sz w:val="22"/>
        </w:rPr>
        <w:t>(b) Gasping respirations</w:t>
      </w:r>
    </w:p>
    <w:p>
      <w:pPr>
        <w:spacing w:after="0" w:before="0"/>
      </w:pPr>
      <w:r>
        <w:rPr>
          <w:b w:val="0"/>
          <w:sz w:val="22"/>
        </w:rPr>
        <w:t>(c) Cyanosis</w:t>
      </w:r>
    </w:p>
    <w:p>
      <w:pPr>
        <w:spacing w:after="0" w:before="0"/>
      </w:pPr>
      <w:r>
        <w:rPr>
          <w:b w:val="0"/>
          <w:sz w:val="22"/>
        </w:rPr>
        <w:t>(d) Bradycardia</w:t>
      </w:r>
    </w:p>
    <w:p>
      <w:pPr>
        <w:spacing w:after="0" w:before="40"/>
      </w:pPr>
      <w:r>
        <w:rPr>
          <w:b/>
          <w:sz w:val="22"/>
        </w:rPr>
        <w:t>Answer: a</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family planning counseling, which method offers the most reliable protection against BOTH pregnancy and sexually transmitted infections?</w:t>
      </w:r>
    </w:p>
    <w:p>
      <w:pPr>
        <w:spacing w:after="0" w:before="0"/>
      </w:pPr>
      <w:r>
        <w:rPr>
          <w:b w:val="0"/>
          <w:sz w:val="22"/>
        </w:rPr>
        <w:t>(a) Intrauterine contraceptive device</w:t>
      </w:r>
    </w:p>
    <w:p>
      <w:pPr>
        <w:spacing w:after="0" w:before="0"/>
      </w:pPr>
      <w:r>
        <w:rPr>
          <w:b w:val="0"/>
          <w:sz w:val="22"/>
        </w:rPr>
        <w:t>(b) Oral contraceptive pills</w:t>
      </w:r>
    </w:p>
    <w:p>
      <w:pPr>
        <w:spacing w:after="0" w:before="0"/>
      </w:pPr>
      <w:r>
        <w:rPr>
          <w:b w:val="0"/>
          <w:sz w:val="22"/>
        </w:rPr>
        <w:t>(c) Male condom</w:t>
      </w:r>
    </w:p>
    <w:p>
      <w:pPr>
        <w:spacing w:after="0" w:before="0"/>
      </w:pPr>
      <w:r>
        <w:rPr>
          <w:b w:val="0"/>
          <w:sz w:val="22"/>
        </w:rPr>
        <w:t>(d) Coitus interruptus (withdrawal)</w:t>
      </w:r>
    </w:p>
    <w:p>
      <w:pPr>
        <w:spacing w:after="0" w:before="40"/>
      </w:pPr>
      <w:r>
        <w:rPr>
          <w:b/>
          <w:sz w:val="22"/>
        </w:rPr>
        <w:t>Answer: c</w:t>
      </w:r>
    </w:p>
    <w:p>
      <w:pPr>
        <w:spacing w:after="0" w:before="0"/>
      </w:pPr>
      <w:r>
        <w:rPr>
          <w:b w:val="0"/>
          <w:sz w:val="21"/>
        </w:rPr>
        <w:t>Solution: Barrier methods, especially the male condom, are the only widely available methods that protect against both pregnancy and STIs when used consistently.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