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NOT related to MMR vaccine?</w:t>
      </w:r>
    </w:p>
    <w:p>
      <w:pPr>
        <w:spacing w:after="0" w:before="0"/>
      </w:pPr>
      <w:r>
        <w:rPr>
          <w:b w:val="0"/>
          <w:sz w:val="22"/>
        </w:rPr>
        <w:t>(a) Mumps</w:t>
      </w:r>
    </w:p>
    <w:p>
      <w:pPr>
        <w:spacing w:after="0" w:before="0"/>
      </w:pPr>
      <w:r>
        <w:rPr>
          <w:b w:val="0"/>
          <w:sz w:val="22"/>
        </w:rPr>
        <w:t>(b) Rickets</w:t>
      </w:r>
    </w:p>
    <w:p>
      <w:pPr>
        <w:spacing w:after="0" w:before="0"/>
      </w:pPr>
      <w:r>
        <w:rPr>
          <w:b w:val="0"/>
          <w:sz w:val="22"/>
        </w:rPr>
        <w:t>(c) Measles</w:t>
      </w:r>
    </w:p>
    <w:p>
      <w:pPr>
        <w:spacing w:after="0" w:before="0"/>
      </w:pPr>
      <w:r>
        <w:rPr>
          <w:b w:val="0"/>
          <w:sz w:val="22"/>
        </w:rPr>
        <w:t>(d) Rubella</w:t>
      </w:r>
    </w:p>
    <w:p>
      <w:pPr>
        <w:spacing w:after="0" w:before="40"/>
      </w:pPr>
      <w:r>
        <w:rPr>
          <w:b/>
          <w:sz w:val="22"/>
        </w:rPr>
        <w:t>Answer: b</w:t>
      </w:r>
    </w:p>
    <w:p>
      <w:pPr>
        <w:spacing w:after="0" w:before="0"/>
      </w:pPr>
      <w:r>
        <w:rPr>
          <w:b w:val="0"/>
          <w:sz w:val="21"/>
        </w:rPr>
        <w:t>Solution: The MMR vaccine protects against measles, mumps and rubella; rickets is a vitamin D deficiency disorder and is not related to MMR.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criteria for low birth weight baby</w:t>
      </w:r>
    </w:p>
    <w:p>
      <w:pPr>
        <w:spacing w:after="0" w:before="0"/>
      </w:pPr>
      <w:r>
        <w:rPr>
          <w:b w:val="0"/>
          <w:sz w:val="22"/>
        </w:rPr>
        <w:t>(a) 2.5 kg</w:t>
      </w:r>
    </w:p>
    <w:p>
      <w:pPr>
        <w:spacing w:after="0" w:before="0"/>
      </w:pPr>
      <w:r>
        <w:rPr>
          <w:b w:val="0"/>
          <w:sz w:val="22"/>
        </w:rPr>
        <w:t>(b) 3 kg</w:t>
      </w:r>
    </w:p>
    <w:p>
      <w:pPr>
        <w:spacing w:after="0" w:before="0"/>
      </w:pPr>
      <w:r>
        <w:rPr>
          <w:b w:val="0"/>
          <w:sz w:val="22"/>
        </w:rPr>
        <w:t>(c) 1.5 kg</w:t>
      </w:r>
    </w:p>
    <w:p>
      <w:pPr>
        <w:spacing w:after="0" w:before="0"/>
      </w:pPr>
      <w:r>
        <w:rPr>
          <w:b w:val="0"/>
          <w:sz w:val="22"/>
        </w:rPr>
        <w:t>(d) 1 kg</w:t>
      </w:r>
    </w:p>
    <w:p>
      <w:pPr>
        <w:spacing w:after="0" w:before="40"/>
      </w:pPr>
      <w:r>
        <w:rPr>
          <w:b/>
          <w:sz w:val="22"/>
        </w:rPr>
        <w:t>Answer: a</w:t>
      </w:r>
    </w:p>
    <w:p>
      <w:pPr>
        <w:spacing w:after="0" w:before="0"/>
      </w:pPr>
      <w:r>
        <w:rPr>
          <w:b w:val="0"/>
          <w:sz w:val="21"/>
        </w:rPr>
        <w:t>Solution: Low birth weight is defined as birth weight below 2.5 kg (2500 g) regardless of gestational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Sims speculum or Cusco speculum is primarily utilized in which clinical department?</w:t>
      </w:r>
    </w:p>
    <w:p>
      <w:pPr>
        <w:spacing w:after="0" w:before="0"/>
      </w:pPr>
      <w:r>
        <w:rPr>
          <w:b w:val="0"/>
          <w:sz w:val="22"/>
        </w:rPr>
        <w:t>(a) Ophthalmology</w:t>
      </w:r>
    </w:p>
    <w:p>
      <w:pPr>
        <w:spacing w:after="0" w:before="0"/>
      </w:pPr>
      <w:r>
        <w:rPr>
          <w:b w:val="0"/>
          <w:sz w:val="22"/>
        </w:rPr>
        <w:t>(b) Obstetrics &amp; Gynecology</w:t>
      </w:r>
    </w:p>
    <w:p>
      <w:pPr>
        <w:spacing w:after="0" w:before="0"/>
      </w:pPr>
      <w:r>
        <w:rPr>
          <w:b w:val="0"/>
          <w:sz w:val="22"/>
        </w:rPr>
        <w:t>(c) Orthopedics</w:t>
      </w:r>
    </w:p>
    <w:p>
      <w:pPr>
        <w:spacing w:after="0" w:before="0"/>
      </w:pPr>
      <w:r>
        <w:rPr>
          <w:b w:val="0"/>
          <w:sz w:val="22"/>
        </w:rPr>
        <w:t>(d) ENT</w:t>
      </w:r>
    </w:p>
    <w:p>
      <w:pPr>
        <w:spacing w:after="0" w:before="40"/>
      </w:pPr>
      <w:r>
        <w:rPr>
          <w:b/>
          <w:sz w:val="22"/>
        </w:rPr>
        <w:t>Answer: b</w:t>
      </w:r>
    </w:p>
    <w:p>
      <w:pPr>
        <w:spacing w:after="0" w:before="0"/>
      </w:pPr>
      <w:r>
        <w:rPr>
          <w:b w:val="0"/>
          <w:sz w:val="21"/>
        </w:rPr>
        <w:t>Solution: Sims vaginal speculum is a double-ended retractor used in Gynecology for inspecting the vaginal canal and cervix.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National Immunization Schedule, the first dose of OPV is given:</w:t>
      </w:r>
    </w:p>
    <w:p>
      <w:pPr>
        <w:spacing w:after="0" w:before="0"/>
      </w:pPr>
      <w:r>
        <w:rPr>
          <w:b w:val="0"/>
          <w:sz w:val="22"/>
        </w:rPr>
        <w:t>(a) At 16-24 months</w:t>
      </w:r>
    </w:p>
    <w:p>
      <w:pPr>
        <w:spacing w:after="0" w:before="0"/>
      </w:pPr>
      <w:r>
        <w:rPr>
          <w:b w:val="0"/>
          <w:sz w:val="22"/>
        </w:rPr>
        <w:t>(b) At 9 months</w:t>
      </w:r>
    </w:p>
    <w:p>
      <w:pPr>
        <w:spacing w:after="0" w:before="0"/>
      </w:pPr>
      <w:r>
        <w:rPr>
          <w:b w:val="0"/>
          <w:sz w:val="22"/>
        </w:rPr>
        <w:t>(c) At 6 weeks</w:t>
      </w:r>
    </w:p>
    <w:p>
      <w:pPr>
        <w:spacing w:after="0" w:before="0"/>
      </w:pPr>
      <w:r>
        <w:rPr>
          <w:b w:val="0"/>
          <w:sz w:val="22"/>
        </w:rPr>
        <w:t>(d) At birth</w:t>
      </w:r>
    </w:p>
    <w:p>
      <w:pPr>
        <w:spacing w:after="0" w:before="40"/>
      </w:pPr>
      <w:r>
        <w:rPr>
          <w:b/>
          <w:sz w:val="22"/>
        </w:rPr>
        <w:t>Answer: d</w:t>
      </w:r>
    </w:p>
    <w:p>
      <w:pPr>
        <w:spacing w:after="0" w:before="0"/>
      </w:pPr>
      <w:r>
        <w:rPr>
          <w:b w:val="0"/>
          <w:sz w:val="21"/>
        </w:rPr>
        <w:t>Solution: OPV-0 (zero dose) is given at birth, followed by OPV 1, 2, 3 at 6, 10 and 14 weeks.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heat sensitive vaccine is:</w:t>
      </w:r>
    </w:p>
    <w:p>
      <w:pPr>
        <w:spacing w:after="0" w:before="0"/>
      </w:pPr>
      <w:r>
        <w:rPr>
          <w:b w:val="0"/>
          <w:sz w:val="22"/>
        </w:rPr>
        <w:t>(a) OPV</w:t>
      </w:r>
    </w:p>
    <w:p>
      <w:pPr>
        <w:spacing w:after="0" w:before="0"/>
      </w:pPr>
      <w:r>
        <w:rPr>
          <w:b w:val="0"/>
          <w:sz w:val="22"/>
        </w:rPr>
        <w:t>(b) DPT</w:t>
      </w:r>
    </w:p>
    <w:p>
      <w:pPr>
        <w:spacing w:after="0" w:before="0"/>
      </w:pPr>
      <w:r>
        <w:rPr>
          <w:b w:val="0"/>
          <w:sz w:val="22"/>
        </w:rPr>
        <w:t>(c) Measles</w:t>
      </w:r>
    </w:p>
    <w:p>
      <w:pPr>
        <w:spacing w:after="0" w:before="0"/>
      </w:pPr>
      <w:r>
        <w:rPr>
          <w:b w:val="0"/>
          <w:sz w:val="22"/>
        </w:rPr>
        <w:t>(d) Hepatitis B</w:t>
      </w:r>
    </w:p>
    <w:p>
      <w:pPr>
        <w:spacing w:after="0" w:before="40"/>
      </w:pPr>
      <w:r>
        <w:rPr>
          <w:b/>
          <w:sz w:val="22"/>
        </w:rPr>
        <w:t>Answer: a</w:t>
      </w:r>
    </w:p>
    <w:p>
      <w:pPr>
        <w:spacing w:after="0" w:before="0"/>
      </w:pPr>
      <w:r>
        <w:rPr>
          <w:b w:val="0"/>
          <w:sz w:val="21"/>
        </w:rPr>
        <w:t>Solution: OPV (oral polio vaccine) is the most heat-sensitive vaccine and must be stored at -20°C.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tuberculin skin test (Mantoux test), how is the standard substance protein purified derivative (PPD) typically injected into the forearm?</w:t>
      </w:r>
    </w:p>
    <w:p>
      <w:pPr>
        <w:spacing w:after="0" w:before="0"/>
      </w:pPr>
      <w:r>
        <w:rPr>
          <w:b w:val="0"/>
          <w:sz w:val="22"/>
        </w:rPr>
        <w:t>(a) Intra-dermally</w:t>
      </w:r>
    </w:p>
    <w:p>
      <w:pPr>
        <w:spacing w:after="0" w:before="0"/>
      </w:pPr>
      <w:r>
        <w:rPr>
          <w:b w:val="0"/>
          <w:sz w:val="22"/>
        </w:rPr>
        <w:t>(b) Intramuscularly</w:t>
      </w:r>
    </w:p>
    <w:p>
      <w:pPr>
        <w:spacing w:after="0" w:before="0"/>
      </w:pPr>
      <w:r>
        <w:rPr>
          <w:b w:val="0"/>
          <w:sz w:val="22"/>
        </w:rPr>
        <w:t>(c) Intravenously</w:t>
      </w:r>
    </w:p>
    <w:p>
      <w:pPr>
        <w:spacing w:after="0" w:before="0"/>
      </w:pPr>
      <w:r>
        <w:rPr>
          <w:b w:val="0"/>
          <w:sz w:val="22"/>
        </w:rPr>
        <w:t>(d) Subcutaneously</w:t>
      </w:r>
    </w:p>
    <w:p>
      <w:pPr>
        <w:spacing w:after="0" w:before="40"/>
      </w:pPr>
      <w:r>
        <w:rPr>
          <w:b/>
          <w:sz w:val="22"/>
        </w:rPr>
        <w:t>Answer: a</w:t>
      </w:r>
    </w:p>
    <w:p>
      <w:pPr>
        <w:spacing w:after="0" w:before="0"/>
      </w:pPr>
      <w:r>
        <w:rPr>
          <w:b w:val="0"/>
          <w:sz w:val="21"/>
        </w:rPr>
        <w:t>Solution: In the tuberculin skin test (Mantoux test), the standard substance protein purified derivative (PPD) is typically injected intradermally into the forearm, which is the correct answer (b). The PPD is a small amount of fluid containing the antigens derived from Mycobacterium tuberculosis. It is injected just below the surface of the skin, specifically within the layers of the dermis. This allows for the accurate assessment of the immune response to the tuberculosis antigens by observing the presence and size of the resulting induration or swelling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is admitted with deep partial-thickness burns over 40% of the body. What is the nurse's FIRST priority in the first 24 hours?</w:t>
      </w:r>
    </w:p>
    <w:p>
      <w:pPr>
        <w:spacing w:after="0" w:before="0"/>
      </w:pPr>
      <w:r>
        <w:rPr>
          <w:b w:val="0"/>
          <w:sz w:val="22"/>
        </w:rPr>
        <w:t>(a) Initial burn wound debridement</w:t>
      </w:r>
    </w:p>
    <w:p>
      <w:pPr>
        <w:spacing w:after="0" w:before="0"/>
      </w:pPr>
      <w:r>
        <w:rPr>
          <w:b w:val="0"/>
          <w:sz w:val="22"/>
        </w:rPr>
        <w:t>(b) Frequent dressing changes</w:t>
      </w:r>
    </w:p>
    <w:p>
      <w:pPr>
        <w:spacing w:after="0" w:before="0"/>
      </w:pPr>
      <w:r>
        <w:rPr>
          <w:b w:val="0"/>
          <w:sz w:val="22"/>
        </w:rPr>
        <w:t>(c) Airway assessment and fluid resuscitation</w:t>
      </w:r>
    </w:p>
    <w:p>
      <w:pPr>
        <w:spacing w:after="0" w:before="0"/>
      </w:pPr>
      <w:r>
        <w:rPr>
          <w:b w:val="0"/>
          <w:sz w:val="22"/>
        </w:rPr>
        <w:t>(d) High-calorie nutritional support</w:t>
      </w:r>
    </w:p>
    <w:p>
      <w:pPr>
        <w:spacing w:after="0" w:before="40"/>
      </w:pPr>
      <w:r>
        <w:rPr>
          <w:b/>
          <w:sz w:val="22"/>
        </w:rPr>
        <w:t>Answer: c</w:t>
      </w:r>
    </w:p>
    <w:p>
      <w:pPr>
        <w:spacing w:after="0" w:before="0"/>
      </w:pPr>
      <w:r>
        <w:rPr>
          <w:b w:val="0"/>
          <w:sz w:val="21"/>
        </w:rPr>
        <w:t>Solution: Inhalation injury is the greatest early threat, so the airway is assessed first; with the airway secured, aggressive fluid resuscitation is the priority in the first 24 hours to prevent hypovolemic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preeclampsia complains of a severe frontal headache and epigastric pain. What is the priority nursing action?</w:t>
      </w:r>
    </w:p>
    <w:p>
      <w:pPr>
        <w:spacing w:after="0" w:before="0"/>
      </w:pPr>
      <w:r>
        <w:rPr>
          <w:b w:val="0"/>
          <w:sz w:val="22"/>
        </w:rPr>
        <w:t>(a) Prepare to administer magnesium sulfate for seizure prophylaxis</w:t>
      </w:r>
    </w:p>
    <w:p>
      <w:pPr>
        <w:spacing w:after="0" w:before="0"/>
      </w:pPr>
      <w:r>
        <w:rPr>
          <w:b w:val="0"/>
          <w:sz w:val="22"/>
        </w:rPr>
        <w:t>(b) Dim the lights and limit visitors</w:t>
      </w:r>
    </w:p>
    <w:p>
      <w:pPr>
        <w:spacing w:after="0" w:before="0"/>
      </w:pPr>
      <w:r>
        <w:rPr>
          <w:b w:val="0"/>
          <w:sz w:val="22"/>
        </w:rPr>
        <w:t>(c) Check deep tendon reflexes</w:t>
      </w:r>
    </w:p>
    <w:p>
      <w:pPr>
        <w:spacing w:after="0" w:before="0"/>
      </w:pPr>
      <w:r>
        <w:rPr>
          <w:b w:val="0"/>
          <w:sz w:val="22"/>
        </w:rPr>
        <w:t>(d) Record the blood pressure every hour</w:t>
      </w:r>
    </w:p>
    <w:p>
      <w:pPr>
        <w:spacing w:after="0" w:before="40"/>
      </w:pPr>
      <w:r>
        <w:rPr>
          <w:b/>
          <w:sz w:val="22"/>
        </w:rPr>
        <w:t>Answer: a</w:t>
      </w:r>
    </w:p>
    <w:p>
      <w:pPr>
        <w:spacing w:after="0" w:before="0"/>
      </w:pPr>
      <w:r>
        <w:rPr>
          <w:b w:val="0"/>
          <w:sz w:val="21"/>
        </w:rPr>
        <w:t>Solution: Severe headache with epigastric pain are warning signs of impending eclampsia; magnesium sulfate is given to prevent seizures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behavioral therapy technique is the treatment of choice for Obsessive-Compulsive Disorder (OCD)?</w:t>
      </w:r>
    </w:p>
    <w:p>
      <w:pPr>
        <w:spacing w:after="0" w:before="0"/>
      </w:pPr>
      <w:r>
        <w:rPr>
          <w:b w:val="0"/>
          <w:sz w:val="22"/>
        </w:rPr>
        <w:t>(a) Exposure and Response Prevention (ERP)</w:t>
      </w:r>
    </w:p>
    <w:p>
      <w:pPr>
        <w:spacing w:after="0" w:before="0"/>
      </w:pPr>
      <w:r>
        <w:rPr>
          <w:b w:val="0"/>
          <w:sz w:val="22"/>
        </w:rPr>
        <w:t>(b) Flooding therapy</w:t>
      </w:r>
    </w:p>
    <w:p>
      <w:pPr>
        <w:spacing w:after="0" w:before="0"/>
      </w:pPr>
      <w:r>
        <w:rPr>
          <w:b w:val="0"/>
          <w:sz w:val="22"/>
        </w:rPr>
        <w:t>(c) Aversion therapy</w:t>
      </w:r>
    </w:p>
    <w:p>
      <w:pPr>
        <w:spacing w:after="0" w:before="0"/>
      </w:pPr>
      <w:r>
        <w:rPr>
          <w:b w:val="0"/>
          <w:sz w:val="22"/>
        </w:rPr>
        <w:t>(d) Psychodynamic therapy</w:t>
      </w:r>
    </w:p>
    <w:p>
      <w:pPr>
        <w:spacing w:after="0" w:before="40"/>
      </w:pPr>
      <w:r>
        <w:rPr>
          <w:b/>
          <w:sz w:val="22"/>
        </w:rPr>
        <w:t>Answer: a</w:t>
      </w:r>
    </w:p>
    <w:p>
      <w:pPr>
        <w:spacing w:after="0" w:before="0"/>
      </w:pPr>
      <w:r>
        <w:rPr>
          <w:b w:val="0"/>
          <w:sz w:val="21"/>
        </w:rPr>
        <w:t>Solution: Exposure and Response Prevention (ERP) exposes the patient to anxiety-provoking stimuli while preventing ritualistic compulsive behaviors.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Mopping</w:t>
      </w:r>
    </w:p>
    <w:p>
      <w:pPr>
        <w:spacing w:after="0" w:before="0"/>
      </w:pPr>
      <w:r>
        <w:rPr>
          <w:b w:val="0"/>
          <w:sz w:val="22"/>
        </w:rPr>
        <w:t>(b) Scrubbing</w:t>
      </w:r>
    </w:p>
    <w:p>
      <w:pPr>
        <w:spacing w:after="0" w:before="0"/>
      </w:pPr>
      <w:r>
        <w:rPr>
          <w:b w:val="0"/>
          <w:sz w:val="22"/>
        </w:rPr>
        <w:t>(c) Sterilization</w:t>
      </w:r>
    </w:p>
    <w:p>
      <w:pPr>
        <w:spacing w:after="0" w:before="0"/>
      </w:pPr>
      <w:r>
        <w:rPr>
          <w:b w:val="0"/>
          <w:sz w:val="22"/>
        </w:rPr>
        <w:t>(d) Disinfection</w:t>
      </w:r>
    </w:p>
    <w:p>
      <w:pPr>
        <w:spacing w:after="0" w:before="40"/>
      </w:pPr>
      <w:r>
        <w:rPr>
          <w:b/>
          <w:sz w:val="22"/>
        </w:rPr>
        <w:t>Answer: c</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covid symptoms in the child, except?</w:t>
      </w:r>
    </w:p>
    <w:p>
      <w:pPr>
        <w:spacing w:after="0" w:before="0"/>
      </w:pPr>
      <w:r>
        <w:rPr>
          <w:b w:val="0"/>
          <w:sz w:val="22"/>
        </w:rPr>
        <w:t>(a) Rhinitis</w:t>
      </w:r>
    </w:p>
    <w:p>
      <w:pPr>
        <w:spacing w:after="0" w:before="0"/>
      </w:pPr>
      <w:r>
        <w:rPr>
          <w:b w:val="0"/>
          <w:sz w:val="22"/>
        </w:rPr>
        <w:t>(b) Purulent conjunctivitis</w:t>
      </w:r>
    </w:p>
    <w:p>
      <w:pPr>
        <w:spacing w:after="0" w:before="0"/>
      </w:pPr>
      <w:r>
        <w:rPr>
          <w:b w:val="0"/>
          <w:sz w:val="22"/>
        </w:rPr>
        <w:t>(c) Fever</w:t>
      </w:r>
    </w:p>
    <w:p>
      <w:pPr>
        <w:spacing w:after="0" w:before="0"/>
      </w:pPr>
      <w:r>
        <w:rPr>
          <w:b w:val="0"/>
          <w:sz w:val="22"/>
        </w:rPr>
        <w:t>(d) Shock</w:t>
      </w:r>
    </w:p>
    <w:p>
      <w:pPr>
        <w:spacing w:after="0" w:before="40"/>
      </w:pPr>
      <w:r>
        <w:rPr>
          <w:b/>
          <w:sz w:val="22"/>
        </w:rPr>
        <w:t>Answer: d</w:t>
      </w:r>
    </w:p>
    <w:p>
      <w:pPr>
        <w:spacing w:after="0" w:before="0"/>
      </w:pPr>
      <w:r>
        <w:rPr>
          <w:b w:val="0"/>
          <w:sz w:val="21"/>
        </w:rPr>
        <w:t>Solution: In children, shock is not typically considered a common symptom of COVID-19 (option A). Children infected with COVID-19 may exhibit a range of symptoms, but shock, which refers to a life-threatening condition characterized by inadequate blood flow to vital organs, is not commonly associated with the infection in children. Instead, common symptoms in children with COVID-19 may include fever, cough, sore throat, rhinitis (runny nose), fatigue, headache, gastrointestinal symptoms, such as nausea and diarrhea, and in some cases, skin rashes. It is important to note that the symptoms of COVID-19 can vary among individuals, and medical evaluation should be sought for proper diagnosis and management. covid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Plan for a central line</w:t>
      </w:r>
    </w:p>
    <w:p>
      <w:pPr>
        <w:spacing w:after="0" w:before="0"/>
      </w:pPr>
      <w:r>
        <w:rPr>
          <w:b w:val="0"/>
          <w:sz w:val="22"/>
        </w:rPr>
        <w:t>(b) Cut down and inject directly</w:t>
      </w:r>
    </w:p>
    <w:p>
      <w:pPr>
        <w:spacing w:after="0" w:before="0"/>
      </w:pPr>
      <w:r>
        <w:rPr>
          <w:b w:val="0"/>
          <w:sz w:val="22"/>
        </w:rPr>
        <w:t>(c) Direct injection into an artery</w:t>
      </w:r>
    </w:p>
    <w:p>
      <w:pPr>
        <w:spacing w:after="0" w:before="0"/>
      </w:pPr>
      <w:r>
        <w:rPr>
          <w:b w:val="0"/>
          <w:sz w:val="22"/>
        </w:rPr>
        <w:t>(d) Direct injection into the intraosseous space of the tibia</w:t>
      </w:r>
    </w:p>
    <w:p>
      <w:pPr>
        <w:spacing w:after="0" w:before="40"/>
      </w:pPr>
      <w:r>
        <w:rPr>
          <w:b/>
          <w:sz w:val="22"/>
        </w:rPr>
        <w:t>Answer: d</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following skin disease characterized by honey-like crusts around the mouth in a baby:</w:t>
      </w:r>
    </w:p>
    <w:p>
      <w:pPr>
        <w:spacing w:after="0" w:before="0"/>
      </w:pPr>
      <w:r>
        <w:rPr>
          <w:b w:val="0"/>
          <w:sz w:val="22"/>
        </w:rPr>
        <w:t>(a) Atopic dermatitis</w:t>
      </w:r>
    </w:p>
    <w:p>
      <w:pPr>
        <w:spacing w:after="0" w:before="0"/>
      </w:pPr>
      <w:r>
        <w:rPr>
          <w:b w:val="0"/>
          <w:sz w:val="22"/>
        </w:rPr>
        <w:t>(b) Impetigo</w:t>
      </w:r>
    </w:p>
    <w:p>
      <w:pPr>
        <w:spacing w:after="0" w:before="0"/>
      </w:pPr>
      <w:r>
        <w:rPr>
          <w:b w:val="0"/>
          <w:sz w:val="22"/>
        </w:rPr>
        <w:t>(c) Scabies</w:t>
      </w:r>
    </w:p>
    <w:p>
      <w:pPr>
        <w:spacing w:after="0" w:before="0"/>
      </w:pPr>
      <w:r>
        <w:rPr>
          <w:b w:val="0"/>
          <w:sz w:val="22"/>
        </w:rPr>
        <w:t>(d) Food Poisoning</w:t>
      </w:r>
    </w:p>
    <w:p>
      <w:pPr>
        <w:spacing w:after="0" w:before="40"/>
      </w:pPr>
      <w:r>
        <w:rPr>
          <w:b/>
          <w:sz w:val="22"/>
        </w:rPr>
        <w:t>Answer: b</w:t>
      </w:r>
    </w:p>
    <w:p>
      <w:pPr>
        <w:spacing w:after="0" w:before="0"/>
      </w:pPr>
      <w:r>
        <w:rPr>
          <w:b w:val="0"/>
          <w:sz w:val="21"/>
        </w:rPr>
        <w:t>Solution: The skin disease characterized by honey-like crusts around the mouth in a baby is impetigo. Impetigo is a common bacterial skin infection caused by Staphylococcus aureus or Streptococcus pyogenes. It is highly contagious and typically affects children. The honey-like crusts form as a result of the infection and can occur around the mouth, as well as on other areas of the body. Prompt treatment with appropriate antibiotics is essential to prevent the spread of the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what time period the child learns about the gender identity</w:t>
      </w:r>
    </w:p>
    <w:p>
      <w:pPr>
        <w:spacing w:after="0" w:before="0"/>
      </w:pPr>
      <w:r>
        <w:rPr>
          <w:b w:val="0"/>
          <w:sz w:val="22"/>
        </w:rPr>
        <w:t>(a) 10 years</w:t>
      </w:r>
    </w:p>
    <w:p>
      <w:pPr>
        <w:spacing w:after="0" w:before="0"/>
      </w:pPr>
      <w:r>
        <w:rPr>
          <w:b w:val="0"/>
          <w:sz w:val="22"/>
        </w:rPr>
        <w:t>(b) 8 years</w:t>
      </w:r>
    </w:p>
    <w:p>
      <w:pPr>
        <w:spacing w:after="0" w:before="0"/>
      </w:pPr>
      <w:r>
        <w:rPr>
          <w:b w:val="0"/>
          <w:sz w:val="22"/>
        </w:rPr>
        <w:t>(c) 1 year</w:t>
      </w:r>
    </w:p>
    <w:p>
      <w:pPr>
        <w:spacing w:after="0" w:before="0"/>
      </w:pPr>
      <w:r>
        <w:rPr>
          <w:b w:val="0"/>
          <w:sz w:val="22"/>
        </w:rPr>
        <w:t>(d) 3 years</w:t>
      </w:r>
    </w:p>
    <w:p>
      <w:pPr>
        <w:spacing w:after="0" w:before="40"/>
      </w:pPr>
      <w:r>
        <w:rPr>
          <w:b/>
          <w:sz w:val="22"/>
        </w:rPr>
        <w:t>Answer: d</w:t>
      </w:r>
    </w:p>
    <w:p>
      <w:pPr>
        <w:spacing w:after="0" w:before="0"/>
      </w:pPr>
      <w:r>
        <w:rPr>
          <w:b w:val="0"/>
          <w:sz w:val="21"/>
        </w:rPr>
        <w:t>Solution: Gender identity (awareness of being male/female) is usually established by about 3 years of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Prepare for immediate needle decompression of the left chest</w:t>
      </w:r>
    </w:p>
    <w:p>
      <w:pPr>
        <w:spacing w:after="0" w:before="0"/>
      </w:pPr>
      <w:r>
        <w:rPr>
          <w:b w:val="0"/>
          <w:sz w:val="22"/>
        </w:rPr>
        <w:t>(b) Increase the FiO2 on the ventilator</w:t>
      </w:r>
    </w:p>
    <w:p>
      <w:pPr>
        <w:spacing w:after="0" w:before="0"/>
      </w:pPr>
      <w:r>
        <w:rPr>
          <w:b w:val="0"/>
          <w:sz w:val="22"/>
        </w:rPr>
        <w:t>(c) Reposition the client and reassess</w:t>
      </w:r>
    </w:p>
    <w:p>
      <w:pPr>
        <w:spacing w:after="0" w:before="0"/>
      </w:pPr>
      <w:r>
        <w:rPr>
          <w:b w:val="0"/>
          <w:sz w:val="22"/>
        </w:rPr>
        <w:t>(d) Suction the endotracheal tube</w:t>
      </w:r>
    </w:p>
    <w:p>
      <w:pPr>
        <w:spacing w:after="0" w:before="40"/>
      </w:pPr>
      <w:r>
        <w:rPr>
          <w:b/>
          <w:sz w:val="22"/>
        </w:rPr>
        <w:t>Answer: a</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receiving change-of-shift report, which client should the nurse assess FIRST?</w:t>
      </w:r>
    </w:p>
    <w:p>
      <w:pPr>
        <w:spacing w:after="0" w:before="0"/>
      </w:pPr>
      <w:r>
        <w:rPr>
          <w:b w:val="0"/>
          <w:sz w:val="22"/>
        </w:rPr>
        <w:t>(a) A client requesting pain medication</w:t>
      </w:r>
    </w:p>
    <w:p>
      <w:pPr>
        <w:spacing w:after="0" w:before="0"/>
      </w:pPr>
      <w:r>
        <w:rPr>
          <w:b w:val="0"/>
          <w:sz w:val="22"/>
        </w:rPr>
        <w:t>(b) A client scheduled for surgery in 2 hours</w:t>
      </w:r>
    </w:p>
    <w:p>
      <w:pPr>
        <w:spacing w:after="0" w:before="0"/>
      </w:pPr>
      <w:r>
        <w:rPr>
          <w:b w:val="0"/>
          <w:sz w:val="22"/>
        </w:rPr>
        <w:t>(c) A client who had an uneventful postoperative night</w:t>
      </w:r>
    </w:p>
    <w:p>
      <w:pPr>
        <w:spacing w:after="0" w:before="0"/>
      </w:pPr>
      <w:r>
        <w:rPr>
          <w:b w:val="0"/>
          <w:sz w:val="22"/>
        </w:rPr>
        <w:t>(d) A client with chest pain, diaphoresis and BP 90/60 mm Hg</w:t>
      </w:r>
    </w:p>
    <w:p>
      <w:pPr>
        <w:spacing w:after="0" w:before="40"/>
      </w:pPr>
      <w:r>
        <w:rPr>
          <w:b/>
          <w:sz w:val="22"/>
        </w:rPr>
        <w:t>Answer: d</w:t>
      </w:r>
    </w:p>
    <w:p>
      <w:pPr>
        <w:spacing w:after="0" w:before="0"/>
      </w:pPr>
      <w:r>
        <w:rPr>
          <w:b w:val="0"/>
          <w:sz w:val="21"/>
        </w:rPr>
        <w:t>Solution: Chest pain with diaphoresis and hypotension suggests an acute cardiac event; this client is at greatest risk and is assessed first (ABC/priority framework).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possible cause for the displacement of the uterus laterally to the umbilicus in the first postpartum day for a woman who delivered vaginally?</w:t>
      </w:r>
    </w:p>
    <w:p>
      <w:pPr>
        <w:spacing w:after="0" w:before="0"/>
      </w:pPr>
      <w:r>
        <w:rPr>
          <w:b w:val="0"/>
          <w:sz w:val="22"/>
        </w:rPr>
        <w:t>(a) Fibroid tumour of the uterus</w:t>
      </w:r>
    </w:p>
    <w:p>
      <w:pPr>
        <w:spacing w:after="0" w:before="0"/>
      </w:pPr>
      <w:r>
        <w:rPr>
          <w:b w:val="0"/>
          <w:sz w:val="22"/>
        </w:rPr>
        <w:t>(b) Urinary retention or a distended bladder</w:t>
      </w:r>
    </w:p>
    <w:p>
      <w:pPr>
        <w:spacing w:after="0" w:before="0"/>
      </w:pPr>
      <w:r>
        <w:rPr>
          <w:b w:val="0"/>
          <w:sz w:val="22"/>
        </w:rPr>
        <w:t>(c) Displacement of the uterus due to bowel distension</w:t>
      </w:r>
    </w:p>
    <w:p>
      <w:pPr>
        <w:spacing w:after="0" w:before="0"/>
      </w:pPr>
      <w:r>
        <w:rPr>
          <w:b w:val="0"/>
          <w:sz w:val="22"/>
        </w:rPr>
        <w:t>(d) Endometritis</w:t>
      </w:r>
    </w:p>
    <w:p>
      <w:pPr>
        <w:spacing w:after="0" w:before="40"/>
      </w:pPr>
      <w:r>
        <w:rPr>
          <w:b/>
          <w:sz w:val="22"/>
        </w:rPr>
        <w:t>Answer: b</w:t>
      </w:r>
    </w:p>
    <w:p>
      <w:pPr>
        <w:spacing w:after="0" w:before="0"/>
      </w:pPr>
      <w:r>
        <w:rPr>
          <w:b w:val="0"/>
          <w:sz w:val="21"/>
        </w:rPr>
        <w:t>Solution: The correct answer is D. Urinary retention or a distended bladder can cause the uterus to be displaced laterally to the umbilicus in the early postpartum period. This is because the bladder sits directly in front of the uterus and when it becomes distended, it can push the uterus out of its normal position. Emptying the bladder can usually resolve this issue. If left untreated, a distended bladder can lead to postpartum hemorrhage and other complications. Labor &lt;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after delivery the nurse notes profuse vaginal bleeding and a soft, boggy uterus. What is the priority action?</w:t>
      </w:r>
    </w:p>
    <w:p>
      <w:pPr>
        <w:spacing w:after="0" w:before="0"/>
      </w:pPr>
      <w:r>
        <w:rPr>
          <w:b w:val="0"/>
          <w:sz w:val="22"/>
        </w:rPr>
        <w:t>(a) Place the client in Trendelenburg position</w:t>
      </w:r>
    </w:p>
    <w:p>
      <w:pPr>
        <w:spacing w:after="0" w:before="0"/>
      </w:pPr>
      <w:r>
        <w:rPr>
          <w:b w:val="0"/>
          <w:sz w:val="22"/>
        </w:rPr>
        <w:t>(b) Insert a Foley catheter</w:t>
      </w:r>
    </w:p>
    <w:p>
      <w:pPr>
        <w:spacing w:after="0" w:before="0"/>
      </w:pPr>
      <w:r>
        <w:rPr>
          <w:b w:val="0"/>
          <w:sz w:val="22"/>
        </w:rPr>
        <w:t>(c) Massage the uterine fundus</w:t>
      </w:r>
    </w:p>
    <w:p>
      <w:pPr>
        <w:spacing w:after="0" w:before="0"/>
      </w:pPr>
      <w:r>
        <w:rPr>
          <w:b w:val="0"/>
          <w:sz w:val="22"/>
        </w:rPr>
        <w:t>(d) Notify the health care provider</w:t>
      </w:r>
    </w:p>
    <w:p>
      <w:pPr>
        <w:spacing w:after="0" w:before="40"/>
      </w:pPr>
      <w:r>
        <w:rPr>
          <w:b/>
          <w:sz w:val="22"/>
        </w:rPr>
        <w:t>Answer: c</w:t>
      </w:r>
    </w:p>
    <w:p>
      <w:pPr>
        <w:spacing w:after="0" w:before="0"/>
      </w:pPr>
      <w:r>
        <w:rPr>
          <w:b w:val="0"/>
          <w:sz w:val="21"/>
        </w:rPr>
        <w:t>Solution: Uterine atony is the commonest cause of postpartum hemorrhage; firm fundal massage stimulates contraction, and oxytocin is then given while help is called.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Cyanotic spell is seen in:</w:t>
      </w:r>
    </w:p>
    <w:p>
      <w:pPr>
        <w:spacing w:after="0" w:before="0"/>
      </w:pPr>
      <w:r>
        <w:rPr>
          <w:b w:val="0"/>
          <w:sz w:val="22"/>
        </w:rPr>
        <w:t>(a) Trans position of arteries</w:t>
      </w:r>
    </w:p>
    <w:p>
      <w:pPr>
        <w:spacing w:after="0" w:before="0"/>
      </w:pPr>
      <w:r>
        <w:rPr>
          <w:b w:val="0"/>
          <w:sz w:val="22"/>
        </w:rPr>
        <w:t>(b) Atrial septal defect</w:t>
      </w:r>
    </w:p>
    <w:p>
      <w:pPr>
        <w:spacing w:after="0" w:before="0"/>
      </w:pPr>
      <w:r>
        <w:rPr>
          <w:b w:val="0"/>
          <w:sz w:val="22"/>
        </w:rPr>
        <w:t>(c) Tetralogy of Fallot</w:t>
      </w:r>
    </w:p>
    <w:p>
      <w:pPr>
        <w:spacing w:after="0" w:before="0"/>
      </w:pPr>
      <w:r>
        <w:rPr>
          <w:b w:val="0"/>
          <w:sz w:val="22"/>
        </w:rPr>
        <w:t>(d) Ventricular septal defect</w:t>
      </w:r>
    </w:p>
    <w:p>
      <w:pPr>
        <w:spacing w:after="0" w:before="40"/>
      </w:pPr>
      <w:r>
        <w:rPr>
          <w:b/>
          <w:sz w:val="22"/>
        </w:rPr>
        <w:t>Answer: c</w:t>
      </w:r>
    </w:p>
    <w:p>
      <w:pPr>
        <w:spacing w:after="0" w:before="0"/>
      </w:pPr>
      <w:r>
        <w:rPr>
          <w:b w:val="0"/>
          <w:sz w:val="21"/>
        </w:rPr>
        <w:t>Solution: A cyanotic spell is seen in Tetralogy of Fallot. Tetralogy of Fallot is a congenital heart defect characterized by four specific abnormalities in the structure of the heart. These abnormalities include ventricular septal defect (VSD), pulmonary stenosis, overriding aorta, and right ventricular hypertrophy. During a cyanotic spell, also known as a "Tet spell," there is a sudden and severe decrease in blood flow to the lungs, leading to inadequate oxygenation of the blood. This results in cyanosis, or a bluish discoloration of the skin and mucous membranes. Cyanotic spells can be triggered by physical activity or agitation and require immediate medical attention. "Nelson Textbook of Pediatrics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conditions is NOT prevented or covered by the MMR vaccine?</w:t>
      </w:r>
    </w:p>
    <w:p>
      <w:pPr>
        <w:spacing w:after="0" w:before="0"/>
      </w:pPr>
      <w:r>
        <w:rPr>
          <w:b w:val="0"/>
          <w:sz w:val="22"/>
        </w:rPr>
        <w:t>(a) Rickets</w:t>
      </w:r>
    </w:p>
    <w:p>
      <w:pPr>
        <w:spacing w:after="0" w:before="0"/>
      </w:pPr>
      <w:r>
        <w:rPr>
          <w:b w:val="0"/>
          <w:sz w:val="22"/>
        </w:rPr>
        <w:t>(b) Mumps</w:t>
      </w:r>
    </w:p>
    <w:p>
      <w:pPr>
        <w:spacing w:after="0" w:before="0"/>
      </w:pPr>
      <w:r>
        <w:rPr>
          <w:b w:val="0"/>
          <w:sz w:val="22"/>
        </w:rPr>
        <w:t>(c) Rubella</w:t>
      </w:r>
    </w:p>
    <w:p>
      <w:pPr>
        <w:spacing w:after="0" w:before="0"/>
      </w:pPr>
      <w:r>
        <w:rPr>
          <w:b w:val="0"/>
          <w:sz w:val="22"/>
        </w:rPr>
        <w:t>(d) Measles</w:t>
      </w:r>
    </w:p>
    <w:p>
      <w:pPr>
        <w:spacing w:after="0" w:before="40"/>
      </w:pPr>
      <w:r>
        <w:rPr>
          <w:b/>
          <w:sz w:val="22"/>
        </w:rPr>
        <w:t>Answer: a</w:t>
      </w:r>
    </w:p>
    <w:p>
      <w:pPr>
        <w:spacing w:after="0" w:before="0"/>
      </w:pPr>
      <w:r>
        <w:rPr>
          <w:b w:val="0"/>
          <w:sz w:val="21"/>
        </w:rPr>
        <w:t>Solution: MMR vaccine protects against Measles, Mumps, and Rubella. Rickets is a nutritional bone disorder caused by Vitamin D deficiency.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