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lady comes to the hospital and the doctor prescribes an iron injection. What should the nurse keep in mind before administering the injection?</w:t>
      </w:r>
    </w:p>
    <w:p>
      <w:pPr>
        <w:spacing w:after="0" w:before="0"/>
      </w:pPr>
      <w:r>
        <w:rPr>
          <w:b w:val="0"/>
          <w:sz w:val="22"/>
        </w:rPr>
        <w:t>(a) Z-track</w:t>
      </w:r>
    </w:p>
    <w:p>
      <w:pPr>
        <w:spacing w:after="0" w:before="0"/>
      </w:pPr>
      <w:r>
        <w:rPr>
          <w:b w:val="0"/>
          <w:sz w:val="22"/>
        </w:rPr>
        <w:t>(b) Pull the skin lateral side</w:t>
      </w:r>
    </w:p>
    <w:p>
      <w:pPr>
        <w:spacing w:after="0" w:before="0"/>
      </w:pPr>
      <w:r>
        <w:rPr>
          <w:b w:val="0"/>
          <w:sz w:val="22"/>
        </w:rPr>
        <w:t>(c) Vigorously rough</w:t>
      </w:r>
    </w:p>
    <w:p>
      <w:pPr>
        <w:spacing w:after="0" w:before="0"/>
      </w:pPr>
      <w:r>
        <w:rPr>
          <w:b w:val="0"/>
          <w:sz w:val="22"/>
        </w:rPr>
        <w:t>(d) Prevent backflow</w:t>
      </w:r>
    </w:p>
    <w:p>
      <w:pPr>
        <w:spacing w:after="0" w:before="40"/>
      </w:pPr>
      <w:r>
        <w:rPr>
          <w:b/>
          <w:sz w:val="22"/>
        </w:rPr>
        <w:t>Answer: a</w:t>
      </w:r>
    </w:p>
    <w:p>
      <w:pPr>
        <w:spacing w:after="0" w:before="0"/>
      </w:pPr>
      <w:r>
        <w:rPr>
          <w:b w:val="0"/>
          <w:sz w:val="21"/>
        </w:rPr>
        <w:t>Solution: - -- Before administering an iron injection to a patient as prescribed by the doctor, the nurse should keep in mind the technique called Z-track (option a). The Z-track method is used for intramuscular injections to prevent medication leakage or staining of the skin. It involves pulling the skin laterally before administering the injection and maintaining the displacement of the subcutaneous tissue until the needle is withdrawn. This technique creates a zigzag path for the medication, which helps seal the injection site and prevents the medication from tracking back along the needle path. The Z-track method ensures accurate delivery of the medication and minimizes discomfort and staining at the injection site.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presented to the psychiatry OPD with his relatives and complained of knee pain, stating that it was due to aliens interfering with his thoughts and controlling him. Which would be the possible diagnosis according to DSM-5 criteria?</w:t>
      </w:r>
    </w:p>
    <w:p>
      <w:pPr>
        <w:spacing w:after="0" w:before="0"/>
      </w:pPr>
      <w:r>
        <w:rPr>
          <w:b w:val="0"/>
          <w:sz w:val="22"/>
        </w:rPr>
        <w:t>(a) Delusion of grandiosity</w:t>
      </w:r>
    </w:p>
    <w:p>
      <w:pPr>
        <w:spacing w:after="0" w:before="0"/>
      </w:pPr>
      <w:r>
        <w:rPr>
          <w:b w:val="0"/>
          <w:sz w:val="22"/>
        </w:rPr>
        <w:t>(b) Delusion of control</w:t>
      </w:r>
    </w:p>
    <w:p>
      <w:pPr>
        <w:spacing w:after="0" w:before="0"/>
      </w:pPr>
      <w:r>
        <w:rPr>
          <w:b w:val="0"/>
          <w:sz w:val="22"/>
        </w:rPr>
        <w:t>(c) Delusion of persuasion</w:t>
      </w:r>
    </w:p>
    <w:p>
      <w:pPr>
        <w:spacing w:after="0" w:before="0"/>
      </w:pPr>
      <w:r>
        <w:rPr>
          <w:b w:val="0"/>
          <w:sz w:val="22"/>
        </w:rPr>
        <w:t>(d) Somatic delusion</w:t>
      </w:r>
    </w:p>
    <w:p>
      <w:pPr>
        <w:spacing w:after="0" w:before="40"/>
      </w:pPr>
      <w:r>
        <w:rPr>
          <w:b/>
          <w:sz w:val="22"/>
        </w:rPr>
        <w:t>Answer: b</w:t>
      </w:r>
    </w:p>
    <w:p>
      <w:pPr>
        <w:spacing w:after="0" w:before="0"/>
      </w:pPr>
      <w:r>
        <w:rPr>
          <w:b w:val="0"/>
          <w:sz w:val="21"/>
        </w:rPr>
        <w:t>Solution: The possible diagnosis for the patient's presentation is delusion of control, according to DSM-5 criteria. Delusion of control is a subtype of delusional disorder in which the individual has a false belief that external forces are controlling their thoughts or actions. This belief is not due to the effects of a substance or a medical condition and cannot be explained by another mental disorder. The delusions cause significant distress or impairment in social, occupational, or other important areas of functioning.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hypoxia is:</w:t>
      </w:r>
    </w:p>
    <w:p>
      <w:pPr>
        <w:spacing w:after="0" w:before="0"/>
      </w:pPr>
      <w:r>
        <w:rPr>
          <w:b w:val="0"/>
          <w:sz w:val="22"/>
        </w:rPr>
        <w:t>(a) Unconsciousness</w:t>
      </w:r>
    </w:p>
    <w:p>
      <w:pPr>
        <w:spacing w:after="0" w:before="0"/>
      </w:pPr>
      <w:r>
        <w:rPr>
          <w:b w:val="0"/>
          <w:sz w:val="22"/>
        </w:rPr>
        <w:t>(b) Restlessness and anxiety</w:t>
      </w:r>
    </w:p>
    <w:p>
      <w:pPr>
        <w:spacing w:after="0" w:before="0"/>
      </w:pPr>
      <w:r>
        <w:rPr>
          <w:b w:val="0"/>
          <w:sz w:val="22"/>
        </w:rPr>
        <w:t>(c) Bradycardia</w:t>
      </w:r>
    </w:p>
    <w:p>
      <w:pPr>
        <w:spacing w:after="0" w:before="0"/>
      </w:pPr>
      <w:r>
        <w:rPr>
          <w:b w:val="0"/>
          <w:sz w:val="22"/>
        </w:rPr>
        <w:t>(d) Cyanosis</w:t>
      </w:r>
    </w:p>
    <w:p>
      <w:pPr>
        <w:spacing w:after="0" w:before="40"/>
      </w:pPr>
      <w:r>
        <w:rPr>
          <w:b/>
          <w:sz w:val="22"/>
        </w:rPr>
        <w:t>Answer: b</w:t>
      </w:r>
    </w:p>
    <w:p>
      <w:pPr>
        <w:spacing w:after="0" w:before="0"/>
      </w:pPr>
      <w:r>
        <w:rPr>
          <w:b w:val="0"/>
          <w:sz w:val="21"/>
        </w:rPr>
        <w:t>Solution: Restlessness and anxiety are early signs of hypoxia; cyanosis appears late.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Before suturing at the end of an open abdominal surgery, what is the mandatory priority action for the scrub nurse?</w:t>
      </w:r>
    </w:p>
    <w:p>
      <w:pPr>
        <w:spacing w:after="0" w:before="0"/>
      </w:pPr>
      <w:r>
        <w:rPr>
          <w:b w:val="0"/>
          <w:sz w:val="22"/>
        </w:rPr>
        <w:t>(a) Perform complete sponge, needle, and instrument count with circulator</w:t>
      </w:r>
    </w:p>
    <w:p>
      <w:pPr>
        <w:spacing w:after="0" w:before="0"/>
      </w:pPr>
      <w:r>
        <w:rPr>
          <w:b w:val="0"/>
          <w:sz w:val="22"/>
        </w:rPr>
        <w:t>(b) Clean instruments</w:t>
      </w:r>
    </w:p>
    <w:p>
      <w:pPr>
        <w:spacing w:after="0" w:before="0"/>
      </w:pPr>
      <w:r>
        <w:rPr>
          <w:b w:val="0"/>
          <w:sz w:val="22"/>
        </w:rPr>
        <w:t>(c) Disinfection of OT room</w:t>
      </w:r>
    </w:p>
    <w:p>
      <w:pPr>
        <w:spacing w:after="0" w:before="0"/>
      </w:pPr>
      <w:r>
        <w:rPr>
          <w:b w:val="0"/>
          <w:sz w:val="22"/>
        </w:rPr>
        <w:t>(d) Change surgical gown</w:t>
      </w:r>
    </w:p>
    <w:p>
      <w:pPr>
        <w:spacing w:after="0" w:before="40"/>
      </w:pPr>
      <w:r>
        <w:rPr>
          <w:b/>
          <w:sz w:val="22"/>
        </w:rPr>
        <w:t>Answer: a</w:t>
      </w:r>
    </w:p>
    <w:p>
      <w:pPr>
        <w:spacing w:after="0" w:before="0"/>
      </w:pPr>
      <w:r>
        <w:rPr>
          <w:b w:val="0"/>
          <w:sz w:val="21"/>
        </w:rPr>
        <w:t>Solution: A dual, verified count of surgical sponges, needles, and instruments before peritoneal closure is mandatory to prevent retained surgical items (gossypiboma).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taking digoxin reports nausea, vomiting and seeing yellow-green halos around lights. What should the nurse do FIRST?</w:t>
      </w:r>
    </w:p>
    <w:p>
      <w:pPr>
        <w:spacing w:after="0" w:before="0"/>
      </w:pPr>
      <w:r>
        <w:rPr>
          <w:b w:val="0"/>
          <w:sz w:val="22"/>
        </w:rPr>
        <w:t>(a) Give the digoxin with food</w:t>
      </w:r>
    </w:p>
    <w:p>
      <w:pPr>
        <w:spacing w:after="0" w:before="0"/>
      </w:pPr>
      <w:r>
        <w:rPr>
          <w:b w:val="0"/>
          <w:sz w:val="22"/>
        </w:rPr>
        <w:t>(b) Document the findings as expected side effects</w:t>
      </w:r>
    </w:p>
    <w:p>
      <w:pPr>
        <w:spacing w:after="0" w:before="0"/>
      </w:pPr>
      <w:r>
        <w:rPr>
          <w:b w:val="0"/>
          <w:sz w:val="22"/>
        </w:rPr>
        <w:t>(c) Check the digoxin level and give the dose</w:t>
      </w:r>
    </w:p>
    <w:p>
      <w:pPr>
        <w:spacing w:after="0" w:before="0"/>
      </w:pPr>
      <w:r>
        <w:rPr>
          <w:b w:val="0"/>
          <w:sz w:val="22"/>
        </w:rPr>
        <w:t>(d) Hold the digoxin and notify the health care provider</w:t>
      </w:r>
    </w:p>
    <w:p>
      <w:pPr>
        <w:spacing w:after="0" w:before="40"/>
      </w:pPr>
      <w:r>
        <w:rPr>
          <w:b/>
          <w:sz w:val="22"/>
        </w:rPr>
        <w:t>Answer: d</w:t>
      </w:r>
    </w:p>
    <w:p>
      <w:pPr>
        <w:spacing w:after="0" w:before="0"/>
      </w:pPr>
      <w:r>
        <w:rPr>
          <w:b w:val="0"/>
          <w:sz w:val="21"/>
        </w:rPr>
        <w:t>Solution: Nausea, vomiting and visual halos are classic digoxin toxicity; the drug is withheld and the provider notified (digoxin level and potassium are then checked).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had a needle stick injury with a hepatitis B infected needle, what is priority nursing action?</w:t>
      </w:r>
    </w:p>
    <w:p>
      <w:pPr>
        <w:spacing w:after="0" w:before="0"/>
      </w:pPr>
      <w:r>
        <w:rPr>
          <w:b w:val="0"/>
          <w:sz w:val="22"/>
        </w:rPr>
        <w:t>(a) Wash puncture site with soap and water</w:t>
      </w:r>
    </w:p>
    <w:p>
      <w:pPr>
        <w:spacing w:after="0" w:before="0"/>
      </w:pPr>
      <w:r>
        <w:rPr>
          <w:b w:val="0"/>
          <w:sz w:val="22"/>
        </w:rPr>
        <w:t>(b) Start PEP treatment immediately</w:t>
      </w:r>
    </w:p>
    <w:p>
      <w:pPr>
        <w:spacing w:after="0" w:before="0"/>
      </w:pPr>
      <w:r>
        <w:rPr>
          <w:b w:val="0"/>
          <w:sz w:val="22"/>
        </w:rPr>
        <w:t>(c) Get a doctor appointment</w:t>
      </w:r>
    </w:p>
    <w:p>
      <w:pPr>
        <w:spacing w:after="0" w:before="0"/>
      </w:pPr>
      <w:r>
        <w:rPr>
          <w:b w:val="0"/>
          <w:sz w:val="22"/>
        </w:rPr>
        <w:t>(d) Collect needle for laboratory check</w:t>
      </w:r>
    </w:p>
    <w:p>
      <w:pPr>
        <w:spacing w:after="0" w:before="40"/>
      </w:pPr>
      <w:r>
        <w:rPr>
          <w:b/>
          <w:sz w:val="22"/>
        </w:rPr>
        <w:t>Answer: a</w:t>
      </w:r>
    </w:p>
    <w:p>
      <w:pPr>
        <w:spacing w:after="0" w:before="0"/>
      </w:pPr>
      <w:r>
        <w:rPr>
          <w:b w:val="0"/>
          <w:sz w:val="21"/>
        </w:rPr>
        <w:t>Solution: After a hepatitis B needle-stick injury, the priority action is to wash the puncture site with soap and water, then report and start PEP.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priority assessment before administering digoxin is:</w:t>
      </w:r>
    </w:p>
    <w:p>
      <w:pPr>
        <w:spacing w:after="0" w:before="0"/>
      </w:pPr>
      <w:r>
        <w:rPr>
          <w:b w:val="0"/>
          <w:sz w:val="22"/>
        </w:rPr>
        <w:t>(a) Respiratory rate</w:t>
      </w:r>
    </w:p>
    <w:p>
      <w:pPr>
        <w:spacing w:after="0" w:before="0"/>
      </w:pPr>
      <w:r>
        <w:rPr>
          <w:b w:val="0"/>
          <w:sz w:val="22"/>
        </w:rPr>
        <w:t>(b) Blood glucose</w:t>
      </w:r>
    </w:p>
    <w:p>
      <w:pPr>
        <w:spacing w:after="0" w:before="0"/>
      </w:pPr>
      <w:r>
        <w:rPr>
          <w:b w:val="0"/>
          <w:sz w:val="22"/>
        </w:rPr>
        <w:t>(c) Apical pulse rate</w:t>
      </w:r>
    </w:p>
    <w:p>
      <w:pPr>
        <w:spacing w:after="0" w:before="0"/>
      </w:pPr>
      <w:r>
        <w:rPr>
          <w:b w:val="0"/>
          <w:sz w:val="22"/>
        </w:rPr>
        <w:t>(d) Body temperature</w:t>
      </w:r>
    </w:p>
    <w:p>
      <w:pPr>
        <w:spacing w:after="0" w:before="40"/>
      </w:pPr>
      <w:r>
        <w:rPr>
          <w:b/>
          <w:sz w:val="22"/>
        </w:rPr>
        <w:t>Answer: c</w:t>
      </w:r>
    </w:p>
    <w:p>
      <w:pPr>
        <w:spacing w:after="0" w:before="0"/>
      </w:pPr>
      <w:r>
        <w:rPr>
          <w:b w:val="0"/>
          <w:sz w:val="21"/>
        </w:rPr>
        <w:t>Solution: Digoxin slows the heart rate; the nurse counts the apical pulse for one full minute and withholds the drug if it is below 60/min in adults.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female came to hospital with a breast nodule of size 2 c.m which is freely movable, palpable but no nipple discharge is seen from the breast. What is the best investigation for this condition?</w:t>
      </w:r>
    </w:p>
    <w:p>
      <w:pPr>
        <w:spacing w:after="0" w:before="0"/>
      </w:pPr>
      <w:r>
        <w:rPr>
          <w:b w:val="0"/>
          <w:sz w:val="22"/>
        </w:rPr>
        <w:t>(a) F.N.A.C</w:t>
      </w:r>
    </w:p>
    <w:p>
      <w:pPr>
        <w:spacing w:after="0" w:before="0"/>
      </w:pPr>
      <w:r>
        <w:rPr>
          <w:b w:val="0"/>
          <w:sz w:val="22"/>
        </w:rPr>
        <w:t>(b) Breast U.S.G</w:t>
      </w:r>
    </w:p>
    <w:p>
      <w:pPr>
        <w:spacing w:after="0" w:before="0"/>
      </w:pPr>
      <w:r>
        <w:rPr>
          <w:b w:val="0"/>
          <w:sz w:val="22"/>
        </w:rPr>
        <w:t>(c) Core needle biopsy</w:t>
      </w:r>
    </w:p>
    <w:p>
      <w:pPr>
        <w:spacing w:after="0" w:before="0"/>
      </w:pPr>
      <w:r>
        <w:rPr>
          <w:b w:val="0"/>
          <w:sz w:val="22"/>
        </w:rPr>
        <w:t>(d) Mammography</w:t>
      </w:r>
    </w:p>
    <w:p>
      <w:pPr>
        <w:spacing w:after="0" w:before="40"/>
      </w:pPr>
      <w:r>
        <w:rPr>
          <w:b/>
          <w:sz w:val="22"/>
        </w:rPr>
        <w:t>Answer: d</w:t>
      </w:r>
    </w:p>
    <w:p>
      <w:pPr>
        <w:spacing w:after="0" w:before="0"/>
      </w:pPr>
      <w:r>
        <w:rPr>
          <w:b w:val="0"/>
          <w:sz w:val="21"/>
        </w:rPr>
        <w:t>Solution: A movable, palpable breast nodule with skin retraction is investigated with mammography.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Scrubbing will be considered as:</w:t>
      </w:r>
    </w:p>
    <w:p>
      <w:pPr>
        <w:spacing w:after="0" w:before="0"/>
      </w:pPr>
      <w:r>
        <w:rPr>
          <w:b w:val="0"/>
          <w:sz w:val="22"/>
        </w:rPr>
        <w:t>(a) Chemical sterilization</w:t>
      </w:r>
    </w:p>
    <w:p>
      <w:pPr>
        <w:spacing w:after="0" w:before="0"/>
      </w:pPr>
      <w:r>
        <w:rPr>
          <w:b w:val="0"/>
          <w:sz w:val="22"/>
        </w:rPr>
        <w:t>(b) Physical sterilization</w:t>
      </w:r>
    </w:p>
    <w:p>
      <w:pPr>
        <w:spacing w:after="0" w:before="0"/>
      </w:pPr>
      <w:r>
        <w:rPr>
          <w:b w:val="0"/>
          <w:sz w:val="22"/>
        </w:rPr>
        <w:t>(c) Chemical disinfection</w:t>
      </w:r>
    </w:p>
    <w:p>
      <w:pPr>
        <w:spacing w:after="0" w:before="0"/>
      </w:pPr>
      <w:r>
        <w:rPr>
          <w:b w:val="0"/>
          <w:sz w:val="22"/>
        </w:rPr>
        <w:t>(d) Physical disinfection</w:t>
      </w:r>
    </w:p>
    <w:p>
      <w:pPr>
        <w:spacing w:after="0" w:before="40"/>
      </w:pPr>
      <w:r>
        <w:rPr>
          <w:b/>
          <w:sz w:val="22"/>
        </w:rPr>
        <w:t>Answer: c</w:t>
      </w:r>
    </w:p>
    <w:p>
      <w:pPr>
        <w:spacing w:after="0" w:before="0"/>
      </w:pPr>
      <w:r>
        <w:rPr>
          <w:b w:val="0"/>
          <w:sz w:val="21"/>
        </w:rPr>
        <w:t>Solution: Scrubbing is considered as chemical disinfection. Chemical disinfection involves the use of chemical agents to eliminate or reduce the number of microorganisms on surfaces, instruments, or equipment. Scrubbing, in the context of disinfection, refers to the mechanical action of rubbing or brushing the surface with a chemical disinfectant solution. This process helps in removing organic matter and microorganisms present on the surface. The chemical disinfectant used during scrubbing aids in killing or inhibiting the growth of microorganisms, ensuring effective disinfection. Scrubbing is commonly employed in healthcare settings to clean and disinfect medical instruments, surgical equipment, and surfaces in patient care areas.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trimester wise weight gain in pregnancy?</w:t>
      </w:r>
    </w:p>
    <w:p>
      <w:pPr>
        <w:spacing w:after="0" w:before="0"/>
      </w:pPr>
      <w:r>
        <w:rPr>
          <w:b w:val="0"/>
          <w:sz w:val="22"/>
        </w:rPr>
        <w:t>(a) 5, 2, 5 kg</w:t>
      </w:r>
    </w:p>
    <w:p>
      <w:pPr>
        <w:spacing w:after="0" w:before="0"/>
      </w:pPr>
      <w:r>
        <w:rPr>
          <w:b w:val="0"/>
          <w:sz w:val="22"/>
        </w:rPr>
        <w:t>(b) 1, 5, 5 kg</w:t>
      </w:r>
    </w:p>
    <w:p>
      <w:pPr>
        <w:spacing w:after="0" w:before="0"/>
      </w:pPr>
      <w:r>
        <w:rPr>
          <w:b w:val="0"/>
          <w:sz w:val="22"/>
        </w:rPr>
        <w:t>(c) 5, 5, 5 kg</w:t>
      </w:r>
    </w:p>
    <w:p>
      <w:pPr>
        <w:spacing w:after="0" w:before="0"/>
      </w:pPr>
      <w:r>
        <w:rPr>
          <w:b w:val="0"/>
          <w:sz w:val="22"/>
        </w:rPr>
        <w:t>(d) 1, 5, 2 kg</w:t>
      </w:r>
    </w:p>
    <w:p>
      <w:pPr>
        <w:spacing w:after="0" w:before="40"/>
      </w:pPr>
      <w:r>
        <w:rPr>
          <w:b/>
          <w:sz w:val="22"/>
        </w:rPr>
        <w:t>Answer: b</w:t>
      </w:r>
    </w:p>
    <w:p>
      <w:pPr>
        <w:spacing w:after="0" w:before="0"/>
      </w:pPr>
      <w:r>
        <w:rPr>
          <w:b w:val="0"/>
          <w:sz w:val="21"/>
        </w:rPr>
        <w:t>Solution: Trimester-wise weight gain in pregnancy is approximately 1 kg (1st), 5 kg (2nd) and 5 kg (3rd) - about 11 kg total.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IMNCI, Danger sign of sick baby includes:</w:t>
      </w:r>
    </w:p>
    <w:p>
      <w:pPr>
        <w:spacing w:after="0" w:before="0"/>
      </w:pPr>
      <w:r>
        <w:rPr>
          <w:b w:val="0"/>
          <w:sz w:val="22"/>
        </w:rPr>
        <w:t>(a) Sole and palm are yellow in color</w:t>
      </w:r>
    </w:p>
    <w:p>
      <w:pPr>
        <w:spacing w:after="0" w:before="0"/>
      </w:pPr>
      <w:r>
        <w:rPr>
          <w:b w:val="0"/>
          <w:sz w:val="22"/>
        </w:rPr>
        <w:t>(b) Watery eyes</w:t>
      </w:r>
    </w:p>
    <w:p>
      <w:pPr>
        <w:spacing w:after="0" w:before="0"/>
      </w:pPr>
      <w:r>
        <w:rPr>
          <w:b w:val="0"/>
          <w:sz w:val="22"/>
        </w:rPr>
        <w:t>(c) Persistent vomiting</w:t>
      </w:r>
    </w:p>
    <w:p>
      <w:pPr>
        <w:spacing w:after="0" w:before="0"/>
      </w:pPr>
      <w:r>
        <w:rPr>
          <w:b w:val="0"/>
          <w:sz w:val="22"/>
        </w:rPr>
        <w:t>(d) Fever</w:t>
      </w:r>
    </w:p>
    <w:p>
      <w:pPr>
        <w:spacing w:after="0" w:before="40"/>
      </w:pPr>
      <w:r>
        <w:rPr>
          <w:b/>
          <w:sz w:val="22"/>
        </w:rPr>
        <w:t>Answer: c</w:t>
      </w:r>
    </w:p>
    <w:p>
      <w:pPr>
        <w:spacing w:after="0" w:before="0"/>
      </w:pPr>
      <w:r>
        <w:rPr>
          <w:b w:val="0"/>
          <w:sz w:val="21"/>
        </w:rPr>
        <w:t>Solution: According to IMNCI, persistent vomiting is a danger sign in a sick baby.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cirrhosis becomes confused, drowsy and develops asterixis. Which nursing action has the highest priority?</w:t>
      </w:r>
    </w:p>
    <w:p>
      <w:pPr>
        <w:spacing w:after="0" w:before="0"/>
      </w:pPr>
      <w:r>
        <w:rPr>
          <w:b w:val="0"/>
          <w:sz w:val="22"/>
        </w:rPr>
        <w:t>(a) Prepare to administer lactulose as ordered</w:t>
      </w:r>
    </w:p>
    <w:p>
      <w:pPr>
        <w:spacing w:after="0" w:before="0"/>
      </w:pPr>
      <w:r>
        <w:rPr>
          <w:b w:val="0"/>
          <w:sz w:val="22"/>
        </w:rPr>
        <w:t>(b) Place the client in the supine position</w:t>
      </w:r>
    </w:p>
    <w:p>
      <w:pPr>
        <w:spacing w:after="0" w:before="0"/>
      </w:pPr>
      <w:r>
        <w:rPr>
          <w:b w:val="0"/>
          <w:sz w:val="22"/>
        </w:rPr>
        <w:t>(c) Increase dietary sodium intake</w:t>
      </w:r>
    </w:p>
    <w:p>
      <w:pPr>
        <w:spacing w:after="0" w:before="0"/>
      </w:pPr>
      <w:r>
        <w:rPr>
          <w:b w:val="0"/>
          <w:sz w:val="22"/>
        </w:rPr>
        <w:t>(d) Restrict dietary protein immediately</w:t>
      </w:r>
    </w:p>
    <w:p>
      <w:pPr>
        <w:spacing w:after="0" w:before="40"/>
      </w:pPr>
      <w:r>
        <w:rPr>
          <w:b/>
          <w:sz w:val="22"/>
        </w:rPr>
        <w:t>Answer: a</w:t>
      </w:r>
    </w:p>
    <w:p>
      <w:pPr>
        <w:spacing w:after="0" w:before="0"/>
      </w:pPr>
      <w:r>
        <w:rPr>
          <w:b w:val="0"/>
          <w:sz w:val="21"/>
        </w:rPr>
        <w:t>Solution: Confusion and asterixis indicate hepatic encephalopathy; lactulose reduces serum ammonia (by trapping it in the gut) and is the priority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is the reason to perform naloxone challenge test on the client with opoid abuse?</w:t>
      </w:r>
    </w:p>
    <w:p>
      <w:pPr>
        <w:spacing w:after="0" w:before="0"/>
      </w:pPr>
      <w:r>
        <w:rPr>
          <w:b w:val="0"/>
          <w:sz w:val="22"/>
        </w:rPr>
        <w:t>(a) To check the level of physical dependance</w:t>
      </w:r>
    </w:p>
    <w:p>
      <w:pPr>
        <w:spacing w:after="0" w:before="0"/>
      </w:pPr>
      <w:r>
        <w:rPr>
          <w:b w:val="0"/>
          <w:sz w:val="22"/>
        </w:rPr>
        <w:t>(b) To treat opoid abuse</w:t>
      </w:r>
    </w:p>
    <w:p>
      <w:pPr>
        <w:spacing w:after="0" w:before="0"/>
      </w:pPr>
      <w:r>
        <w:rPr>
          <w:b w:val="0"/>
          <w:sz w:val="22"/>
        </w:rPr>
        <w:t>(c) To check reaction of drug</w:t>
      </w:r>
    </w:p>
    <w:p>
      <w:pPr>
        <w:spacing w:after="0" w:before="0"/>
      </w:pPr>
      <w:r>
        <w:rPr>
          <w:b w:val="0"/>
          <w:sz w:val="22"/>
        </w:rPr>
        <w:t>(d) To check patient intrest</w:t>
      </w:r>
    </w:p>
    <w:p>
      <w:pPr>
        <w:spacing w:after="0" w:before="40"/>
      </w:pPr>
      <w:r>
        <w:rPr>
          <w:b/>
          <w:sz w:val="22"/>
        </w:rPr>
        <w:t>Answer: a</w:t>
      </w:r>
    </w:p>
    <w:p>
      <w:pPr>
        <w:spacing w:after="0" w:before="0"/>
      </w:pPr>
      <w:r>
        <w:rPr>
          <w:b w:val="0"/>
          <w:sz w:val="21"/>
        </w:rPr>
        <w:t>Solution: The naloxone challenge test is done to confirm physical (opioid) dependence by precipitating withdrawal before starting naltrexone therapy.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vesicant chemotherapeutic drug extravasates during IV infusion. What is the nurse's priority action?</w:t>
      </w:r>
    </w:p>
    <w:p>
      <w:pPr>
        <w:spacing w:after="0" w:before="0"/>
      </w:pPr>
      <w:r>
        <w:rPr>
          <w:b w:val="0"/>
          <w:sz w:val="22"/>
        </w:rPr>
        <w:t>(a) Apply a warm compress to the site</w:t>
      </w:r>
    </w:p>
    <w:p>
      <w:pPr>
        <w:spacing w:after="0" w:before="0"/>
      </w:pPr>
      <w:r>
        <w:rPr>
          <w:b w:val="0"/>
          <w:sz w:val="22"/>
        </w:rPr>
        <w:t>(b) Stop the infusion immediately</w:t>
      </w:r>
    </w:p>
    <w:p>
      <w:pPr>
        <w:spacing w:after="0" w:before="0"/>
      </w:pPr>
      <w:r>
        <w:rPr>
          <w:b w:val="0"/>
          <w:sz w:val="22"/>
        </w:rPr>
        <w:t>(c) Elevate the extremity</w:t>
      </w:r>
    </w:p>
    <w:p>
      <w:pPr>
        <w:spacing w:after="0" w:before="0"/>
      </w:pPr>
      <w:r>
        <w:rPr>
          <w:b w:val="0"/>
          <w:sz w:val="22"/>
        </w:rPr>
        <w:t>(d) Notify the oncologist after completing the infusion</w:t>
      </w:r>
    </w:p>
    <w:p>
      <w:pPr>
        <w:spacing w:after="0" w:before="40"/>
      </w:pPr>
      <w:r>
        <w:rPr>
          <w:b/>
          <w:sz w:val="22"/>
        </w:rPr>
        <w:t>Answer: b</w:t>
      </w:r>
    </w:p>
    <w:p>
      <w:pPr>
        <w:spacing w:after="0" w:before="0"/>
      </w:pPr>
      <w:r>
        <w:rPr>
          <w:b w:val="0"/>
          <w:sz w:val="21"/>
        </w:rPr>
        <w:t>Solution: For a vesicant extravasation the infusion is stopped immediately, the drug aspirated from the tubing, and the provider notified; the antidote/compress then depends on the drug.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Pain, warmth, erythema (redness), and a palpable venous cord along the IV catheter site indicates</w:t>
      </w:r>
    </w:p>
    <w:p>
      <w:pPr>
        <w:spacing w:after="0" w:before="0"/>
      </w:pPr>
      <w:r>
        <w:rPr>
          <w:b w:val="0"/>
          <w:sz w:val="22"/>
        </w:rPr>
        <w:t>(a) Infiltration</w:t>
      </w:r>
    </w:p>
    <w:p>
      <w:pPr>
        <w:spacing w:after="0" w:before="0"/>
      </w:pPr>
      <w:r>
        <w:rPr>
          <w:b w:val="0"/>
          <w:sz w:val="22"/>
        </w:rPr>
        <w:t>(b) Hematoma</w:t>
      </w:r>
    </w:p>
    <w:p>
      <w:pPr>
        <w:spacing w:after="0" w:before="0"/>
      </w:pPr>
      <w:r>
        <w:rPr>
          <w:b w:val="0"/>
          <w:sz w:val="22"/>
        </w:rPr>
        <w:t>(c) Extravasation</w:t>
      </w:r>
    </w:p>
    <w:p>
      <w:pPr>
        <w:spacing w:after="0" w:before="0"/>
      </w:pPr>
      <w:r>
        <w:rPr>
          <w:b w:val="0"/>
          <w:sz w:val="22"/>
        </w:rPr>
        <w:t>(d) Phlebitis</w:t>
      </w:r>
    </w:p>
    <w:p>
      <w:pPr>
        <w:spacing w:after="0" w:before="40"/>
      </w:pPr>
      <w:r>
        <w:rPr>
          <w:b/>
          <w:sz w:val="22"/>
        </w:rPr>
        <w:t>Answer: d</w:t>
      </w:r>
    </w:p>
    <w:p>
      <w:pPr>
        <w:spacing w:after="0" w:before="0"/>
      </w:pPr>
      <w:r>
        <w:rPr>
          <w:b w:val="0"/>
          <w:sz w:val="21"/>
        </w:rPr>
        <w:t>Solution: Phlebitis is inflammation of the intima of the vein characterized by pain, erythema, warmth, and a palpable cord along the vein path.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1 ml × %BSA × body weight (kg)</w:t>
      </w:r>
    </w:p>
    <w:p>
      <w:pPr>
        <w:spacing w:after="0" w:before="0"/>
      </w:pPr>
      <w:r>
        <w:rPr>
          <w:b w:val="0"/>
          <w:sz w:val="22"/>
        </w:rPr>
        <w:t>(b) 3 ml × %BSA × body weight (kg)</w:t>
      </w:r>
    </w:p>
    <w:p>
      <w:pPr>
        <w:spacing w:after="0" w:before="0"/>
      </w:pPr>
      <w:r>
        <w:rPr>
          <w:b w:val="0"/>
          <w:sz w:val="22"/>
        </w:rPr>
        <w:t>(c) 2 ml × %BSA × body weight (kg)</w:t>
      </w:r>
    </w:p>
    <w:p>
      <w:pPr>
        <w:spacing w:after="0" w:before="0"/>
      </w:pPr>
      <w:r>
        <w:rPr>
          <w:b w:val="0"/>
          <w:sz w:val="22"/>
        </w:rPr>
        <w:t>(d) 4 ml × %BSA × body weight (kg)</w:t>
      </w:r>
    </w:p>
    <w:p>
      <w:pPr>
        <w:spacing w:after="0" w:before="40"/>
      </w:pPr>
      <w:r>
        <w:rPr>
          <w:b/>
          <w:sz w:val="22"/>
        </w:rPr>
        <w:t>Answer: d</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burn patient with 30% TBSA burns in the first 24 hours should be monitored most closely for:</w:t>
      </w:r>
    </w:p>
    <w:p>
      <w:pPr>
        <w:spacing w:after="0" w:before="0"/>
      </w:pPr>
      <w:r>
        <w:rPr>
          <w:b w:val="0"/>
          <w:sz w:val="22"/>
        </w:rPr>
        <w:t>(a) Hyperkalemia only</w:t>
      </w:r>
    </w:p>
    <w:p>
      <w:pPr>
        <w:spacing w:after="0" w:before="0"/>
      </w:pPr>
      <w:r>
        <w:rPr>
          <w:b w:val="0"/>
          <w:sz w:val="22"/>
        </w:rPr>
        <w:t>(b) Constipation</w:t>
      </w:r>
    </w:p>
    <w:p>
      <w:pPr>
        <w:spacing w:after="0" w:before="0"/>
      </w:pPr>
      <w:r>
        <w:rPr>
          <w:b w:val="0"/>
          <w:sz w:val="22"/>
        </w:rPr>
        <w:t>(c) Hypovolaemic shock</w:t>
      </w:r>
    </w:p>
    <w:p>
      <w:pPr>
        <w:spacing w:after="0" w:before="0"/>
      </w:pPr>
      <w:r>
        <w:rPr>
          <w:b w:val="0"/>
          <w:sz w:val="22"/>
        </w:rPr>
        <w:t>(d) Hyperglycemia</w:t>
      </w:r>
    </w:p>
    <w:p>
      <w:pPr>
        <w:spacing w:after="0" w:before="40"/>
      </w:pPr>
      <w:r>
        <w:rPr>
          <w:b/>
          <w:sz w:val="22"/>
        </w:rPr>
        <w:t>Answer: c</w:t>
      </w:r>
    </w:p>
    <w:p>
      <w:pPr>
        <w:spacing w:after="0" w:before="0"/>
      </w:pPr>
      <w:r>
        <w:rPr>
          <w:b w:val="0"/>
          <w:sz w:val="21"/>
        </w:rPr>
        <w:t>Solution: Fluid shift from the intravascular compartment causes hypovolaemic shock in the first 24-48 hours after burns.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component is NOT included in the Physical Quality of Life Index (PQLI)?</w:t>
      </w:r>
    </w:p>
    <w:p>
      <w:pPr>
        <w:spacing w:after="0" w:before="0"/>
      </w:pPr>
      <w:r>
        <w:rPr>
          <w:b w:val="0"/>
          <w:sz w:val="22"/>
        </w:rPr>
        <w:t>(a) Basic literacy rate</w:t>
      </w:r>
    </w:p>
    <w:p>
      <w:pPr>
        <w:spacing w:after="0" w:before="0"/>
      </w:pPr>
      <w:r>
        <w:rPr>
          <w:b w:val="0"/>
          <w:sz w:val="22"/>
        </w:rPr>
        <w:t>(b) Per capita Income</w:t>
      </w:r>
    </w:p>
    <w:p>
      <w:pPr>
        <w:spacing w:after="0" w:before="0"/>
      </w:pPr>
      <w:r>
        <w:rPr>
          <w:b w:val="0"/>
          <w:sz w:val="22"/>
        </w:rPr>
        <w:t>(c) IMR</w:t>
      </w:r>
    </w:p>
    <w:p>
      <w:pPr>
        <w:spacing w:after="0" w:before="0"/>
      </w:pPr>
      <w:r>
        <w:rPr>
          <w:b w:val="0"/>
          <w:sz w:val="22"/>
        </w:rPr>
        <w:t>(d) Life expectancy at one</w:t>
      </w:r>
    </w:p>
    <w:p>
      <w:pPr>
        <w:spacing w:after="0" w:before="40"/>
      </w:pPr>
      <w:r>
        <w:rPr>
          <w:b/>
          <w:sz w:val="22"/>
        </w:rPr>
        <w:t>Answer: b</w:t>
      </w:r>
    </w:p>
    <w:p>
      <w:pPr>
        <w:spacing w:after="0" w:before="0"/>
      </w:pPr>
      <w:r>
        <w:rPr>
          <w:b w:val="0"/>
          <w:sz w:val="21"/>
        </w:rPr>
        <w:t>Solution: The component NOT included in the Physical Quality of Life Index (PQLI) is per capita income. The PQLI is a composite index used to measure the quality of life in different countries. It incorporates three basic components: life expectancy at birth, infant mortality rate (IMR), and basic literacy rate. These components provide insights into the overall health, education, and well-being of the population. However, per capita income, although an important indicator of economic well-being, is not included in the PQLI.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in the immediate postoperative period after thyroidectomy develops stridor. Which condition does this indicate and what is the priority?</w:t>
      </w:r>
    </w:p>
    <w:p>
      <w:pPr>
        <w:spacing w:after="0" w:before="0"/>
      </w:pPr>
      <w:r>
        <w:rPr>
          <w:b w:val="0"/>
          <w:sz w:val="22"/>
        </w:rPr>
        <w:t>(a) Recurrent laryngeal nerve injury - reassure the client</w:t>
      </w:r>
    </w:p>
    <w:p>
      <w:pPr>
        <w:spacing w:after="0" w:before="0"/>
      </w:pPr>
      <w:r>
        <w:rPr>
          <w:b w:val="0"/>
          <w:sz w:val="22"/>
        </w:rPr>
        <w:t>(b) Normal postoperative hoarseness - continue to observe</w:t>
      </w:r>
    </w:p>
    <w:p>
      <w:pPr>
        <w:spacing w:after="0" w:before="0"/>
      </w:pPr>
      <w:r>
        <w:rPr>
          <w:b w:val="0"/>
          <w:sz w:val="22"/>
        </w:rPr>
        <w:t>(c) Hypocalcemia - check calcium level</w:t>
      </w:r>
    </w:p>
    <w:p>
      <w:pPr>
        <w:spacing w:after="0" w:before="0"/>
      </w:pPr>
      <w:r>
        <w:rPr>
          <w:b w:val="0"/>
          <w:sz w:val="22"/>
        </w:rPr>
        <w:t>(d) Laryngeal edema with airway obstruction - prepare for emergency airway management</w:t>
      </w:r>
    </w:p>
    <w:p>
      <w:pPr>
        <w:spacing w:after="0" w:before="40"/>
      </w:pPr>
      <w:r>
        <w:rPr>
          <w:b/>
          <w:sz w:val="22"/>
        </w:rPr>
        <w:t>Answer: d</w:t>
      </w:r>
    </w:p>
    <w:p>
      <w:pPr>
        <w:spacing w:after="0" w:before="0"/>
      </w:pPr>
      <w:r>
        <w:rPr>
          <w:b w:val="0"/>
          <w:sz w:val="21"/>
        </w:rPr>
        <w:t>Solution: Stridor is inspiratory crowing from laryngeal edema/obstruction; it is an emergency requiring immediate airway management (oxygen, and possible tracheostomy).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Disulfiram is commonly used for the treatment of:</w:t>
      </w:r>
    </w:p>
    <w:p>
      <w:pPr>
        <w:spacing w:after="0" w:before="0"/>
      </w:pPr>
      <w:r>
        <w:rPr>
          <w:b w:val="0"/>
          <w:sz w:val="22"/>
        </w:rPr>
        <w:t>(a) Chronic schizophrenia</w:t>
      </w:r>
    </w:p>
    <w:p>
      <w:pPr>
        <w:spacing w:after="0" w:before="0"/>
      </w:pPr>
      <w:r>
        <w:rPr>
          <w:b w:val="0"/>
          <w:sz w:val="22"/>
        </w:rPr>
        <w:t>(b) Chronic alcoholism</w:t>
      </w:r>
    </w:p>
    <w:p>
      <w:pPr>
        <w:spacing w:after="0" w:before="0"/>
      </w:pPr>
      <w:r>
        <w:rPr>
          <w:b w:val="0"/>
          <w:sz w:val="22"/>
        </w:rPr>
        <w:t>(c) Chronic smoker</w:t>
      </w:r>
    </w:p>
    <w:p>
      <w:pPr>
        <w:spacing w:after="0" w:before="0"/>
      </w:pPr>
      <w:r>
        <w:rPr>
          <w:b w:val="0"/>
          <w:sz w:val="22"/>
        </w:rPr>
        <w:t>(d) All of the above</w:t>
      </w:r>
    </w:p>
    <w:p>
      <w:pPr>
        <w:spacing w:after="0" w:before="40"/>
      </w:pPr>
      <w:r>
        <w:rPr>
          <w:b/>
          <w:sz w:val="22"/>
        </w:rPr>
        <w:t>Answer: b</w:t>
      </w:r>
    </w:p>
    <w:p>
      <w:pPr>
        <w:spacing w:after="0" w:before="0"/>
      </w:pPr>
      <w:r>
        <w:rPr>
          <w:b w:val="0"/>
          <w:sz w:val="21"/>
        </w:rPr>
        <w:t>Solution: Disulfiram (option B) is commonly used for the treatment of chronic alcoholism. Disulfiram is a medication that is used as a deterrent to alcohol consumption. It works by inhibiting the enzyme acetaldehyde dehydrogenase, which plays a role in the metabolism of alcohol. When disulfiram is taken and alcohol is consumed, it leads to an accumulation of acetaldehyde in the body, causing unpleasant symptoms such as nausea, flushing, palpitations, and headache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