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post-operative pain drug can induce nausea, vomiting, and dizziness as frequent side effects?</w:t>
      </w:r>
    </w:p>
    <w:p>
      <w:pPr>
        <w:spacing w:after="0" w:before="0"/>
      </w:pPr>
      <w:r>
        <w:rPr>
          <w:b w:val="0"/>
          <w:sz w:val="22"/>
        </w:rPr>
        <w:t>(a) Paracetamol</w:t>
      </w:r>
    </w:p>
    <w:p>
      <w:pPr>
        <w:spacing w:after="0" w:before="0"/>
      </w:pPr>
      <w:r>
        <w:rPr>
          <w:b w:val="0"/>
          <w:sz w:val="22"/>
        </w:rPr>
        <w:t>(b) Tramadol</w:t>
      </w:r>
    </w:p>
    <w:p>
      <w:pPr>
        <w:spacing w:after="0" w:before="0"/>
      </w:pPr>
      <w:r>
        <w:rPr>
          <w:b w:val="0"/>
          <w:sz w:val="22"/>
        </w:rPr>
        <w:t>(c) Diclofenac</w:t>
      </w:r>
    </w:p>
    <w:p>
      <w:pPr>
        <w:spacing w:after="0" w:before="0"/>
      </w:pPr>
      <w:r>
        <w:rPr>
          <w:b w:val="0"/>
          <w:sz w:val="22"/>
        </w:rPr>
        <w:t>(d) Ondansetron</w:t>
      </w:r>
    </w:p>
    <w:p>
      <w:pPr>
        <w:spacing w:after="0" w:before="40"/>
      </w:pPr>
      <w:r>
        <w:rPr>
          <w:b/>
          <w:sz w:val="22"/>
        </w:rPr>
        <w:t>Answer: b</w:t>
      </w:r>
    </w:p>
    <w:p>
      <w:pPr>
        <w:spacing w:after="0" w:before="0"/>
      </w:pPr>
      <w:r>
        <w:rPr>
          <w:b w:val="0"/>
          <w:sz w:val="21"/>
        </w:rPr>
        <w:t>Solution: Tramadol (opioid analgesic) frequently causes central nervous system side effects including severe nausea, vomiting, dizziness, and sedation.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VP (Ventriculoperitoneal) shunt surgery in an infant with hydrocephalus, how does the nurse assess for increased ICP?</w:t>
      </w:r>
    </w:p>
    <w:p>
      <w:pPr>
        <w:spacing w:after="0" w:before="0"/>
      </w:pPr>
      <w:r>
        <w:rPr>
          <w:b w:val="0"/>
          <w:sz w:val="22"/>
        </w:rPr>
        <w:t>(a) Measure blood pressure</w:t>
      </w:r>
    </w:p>
    <w:p>
      <w:pPr>
        <w:spacing w:after="0" w:before="0"/>
      </w:pPr>
      <w:r>
        <w:rPr>
          <w:b w:val="0"/>
          <w:sz w:val="22"/>
        </w:rPr>
        <w:t>(b) Palpate anterior fontanelle for fullness/bulging</w:t>
      </w:r>
    </w:p>
    <w:p>
      <w:pPr>
        <w:spacing w:after="0" w:before="0"/>
      </w:pPr>
      <w:r>
        <w:rPr>
          <w:b w:val="0"/>
          <w:sz w:val="22"/>
        </w:rPr>
        <w:t>(c) Check urine output</w:t>
      </w:r>
    </w:p>
    <w:p>
      <w:pPr>
        <w:spacing w:after="0" w:before="0"/>
      </w:pPr>
      <w:r>
        <w:rPr>
          <w:b w:val="0"/>
          <w:sz w:val="22"/>
        </w:rPr>
        <w:t>(d) Assess respiratory rate</w:t>
      </w:r>
    </w:p>
    <w:p>
      <w:pPr>
        <w:spacing w:after="0" w:before="40"/>
      </w:pPr>
      <w:r>
        <w:rPr>
          <w:b/>
          <w:sz w:val="22"/>
        </w:rPr>
        <w:t>Answer: b</w:t>
      </w:r>
    </w:p>
    <w:p>
      <w:pPr>
        <w:spacing w:after="0" w:before="0"/>
      </w:pPr>
      <w:r>
        <w:rPr>
          <w:b w:val="0"/>
          <w:sz w:val="21"/>
        </w:rPr>
        <w:t>Solution: In infants, a tense, bulging anterior fontanelle is the primary physical sign of elevated intracranial pressure (ICP).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Hand washing</w:t>
      </w:r>
    </w:p>
    <w:p>
      <w:pPr>
        <w:spacing w:after="0" w:before="0"/>
      </w:pPr>
      <w:r>
        <w:rPr>
          <w:b w:val="0"/>
          <w:sz w:val="22"/>
        </w:rPr>
        <w:t>(b) Brush two times</w:t>
      </w:r>
    </w:p>
    <w:p>
      <w:pPr>
        <w:spacing w:after="0" w:before="0"/>
      </w:pPr>
      <w:r>
        <w:rPr>
          <w:b w:val="0"/>
          <w:sz w:val="22"/>
        </w:rPr>
        <w:t>(c) Sitz bath</w:t>
      </w:r>
    </w:p>
    <w:p>
      <w:pPr>
        <w:spacing w:after="0" w:before="0"/>
      </w:pPr>
      <w:r>
        <w:rPr>
          <w:b w:val="0"/>
          <w:sz w:val="22"/>
        </w:rPr>
        <w:t>(d) Avoid crowded place</w:t>
      </w:r>
    </w:p>
    <w:p>
      <w:pPr>
        <w:spacing w:after="0" w:before="40"/>
      </w:pPr>
      <w:r>
        <w:rPr>
          <w:b/>
          <w:sz w:val="22"/>
        </w:rPr>
        <w:t>Answer: c</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tests can be used to determine the potency of freeze-dried vaccines?</w:t>
      </w:r>
    </w:p>
    <w:p>
      <w:pPr>
        <w:spacing w:after="0" w:before="0"/>
      </w:pPr>
      <w:r>
        <w:rPr>
          <w:b w:val="0"/>
          <w:sz w:val="22"/>
        </w:rPr>
        <w:t>(a) Modified hable test</w:t>
      </w:r>
    </w:p>
    <w:p>
      <w:pPr>
        <w:spacing w:after="0" w:before="0"/>
      </w:pPr>
      <w:r>
        <w:rPr>
          <w:b w:val="0"/>
          <w:sz w:val="22"/>
        </w:rPr>
        <w:t>(b) Hable test</w:t>
      </w:r>
    </w:p>
    <w:p>
      <w:pPr>
        <w:spacing w:after="0" w:before="0"/>
      </w:pPr>
      <w:r>
        <w:rPr>
          <w:b w:val="0"/>
          <w:sz w:val="22"/>
        </w:rPr>
        <w:t>(c) Shake test</w:t>
      </w:r>
    </w:p>
    <w:p>
      <w:pPr>
        <w:spacing w:after="0" w:before="0"/>
      </w:pPr>
      <w:r>
        <w:rPr>
          <w:b w:val="0"/>
          <w:sz w:val="22"/>
        </w:rPr>
        <w:t>(d) Monteux test</w:t>
      </w:r>
    </w:p>
    <w:p>
      <w:pPr>
        <w:spacing w:after="0" w:before="40"/>
      </w:pPr>
      <w:r>
        <w:rPr>
          <w:b/>
          <w:sz w:val="22"/>
        </w:rPr>
        <w:t>Answer: c</w:t>
      </w:r>
    </w:p>
    <w:p>
      <w:pPr>
        <w:spacing w:after="0" w:before="0"/>
      </w:pPr>
      <w:r>
        <w:rPr>
          <w:b w:val="0"/>
          <w:sz w:val="21"/>
        </w:rPr>
        <w:t>Solution: The correct answer is option (a) - the Shake Test. The Shake Test is used to determine the potency of freeze-dried vaccines. Freeze-dried vaccines are reconstituted with a diluent before administration. The Shake Test involves shaking the reconstituted vaccine to ensure proper mixing and reconstitution. The presence of clumps, aggregates, or particles indicates a loss of potency or compromised vaccine quality. This test is essential to verify the efficacy and stability of freeze-dried vaccines before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Anganwadi worker assess the malnutrition status by:</w:t>
      </w:r>
    </w:p>
    <w:p>
      <w:pPr>
        <w:spacing w:after="0" w:before="0"/>
      </w:pPr>
      <w:r>
        <w:rPr>
          <w:b w:val="0"/>
          <w:sz w:val="22"/>
        </w:rPr>
        <w:t>(a) Mid arm circumference</w:t>
      </w:r>
    </w:p>
    <w:p>
      <w:pPr>
        <w:spacing w:after="0" w:before="0"/>
      </w:pPr>
      <w:r>
        <w:rPr>
          <w:b w:val="0"/>
          <w:sz w:val="22"/>
        </w:rPr>
        <w:t>(b) Height for age</w:t>
      </w:r>
    </w:p>
    <w:p>
      <w:pPr>
        <w:spacing w:after="0" w:before="0"/>
      </w:pPr>
      <w:r>
        <w:rPr>
          <w:b w:val="0"/>
          <w:sz w:val="22"/>
        </w:rPr>
        <w:t>(c) Weight for height</w:t>
      </w:r>
    </w:p>
    <w:p>
      <w:pPr>
        <w:spacing w:after="0" w:before="0"/>
      </w:pPr>
      <w:r>
        <w:rPr>
          <w:b w:val="0"/>
          <w:sz w:val="22"/>
        </w:rPr>
        <w:t>(d) Weight for age</w:t>
      </w:r>
    </w:p>
    <w:p>
      <w:pPr>
        <w:spacing w:after="0" w:before="40"/>
      </w:pPr>
      <w:r>
        <w:rPr>
          <w:b/>
          <w:sz w:val="22"/>
        </w:rPr>
        <w:t>Answer: d</w:t>
      </w:r>
    </w:p>
    <w:p>
      <w:pPr>
        <w:spacing w:after="0" w:before="0"/>
      </w:pPr>
      <w:r>
        <w:rPr>
          <w:b w:val="0"/>
          <w:sz w:val="21"/>
        </w:rPr>
        <w:t>Solution: Anganwadi workers assess malnutrition in children by weight for age (growth monitoring under ICDS).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observes clear, watery fluid draining from the nose of a client with a head injury. Which action is appropriate?</w:t>
      </w:r>
    </w:p>
    <w:p>
      <w:pPr>
        <w:spacing w:after="0" w:before="0"/>
      </w:pPr>
      <w:r>
        <w:rPr>
          <w:b w:val="0"/>
          <w:sz w:val="22"/>
        </w:rPr>
        <w:t>(a) Test the drainage for glucose to confirm cerebrospinal fluid</w:t>
      </w:r>
    </w:p>
    <w:p>
      <w:pPr>
        <w:spacing w:after="0" w:before="0"/>
      </w:pPr>
      <w:r>
        <w:rPr>
          <w:b w:val="0"/>
          <w:sz w:val="22"/>
        </w:rPr>
        <w:t>(b) Suction the nares to keep the airway clear</w:t>
      </w:r>
    </w:p>
    <w:p>
      <w:pPr>
        <w:spacing w:after="0" w:before="0"/>
      </w:pPr>
      <w:r>
        <w:rPr>
          <w:b w:val="0"/>
          <w:sz w:val="22"/>
        </w:rPr>
        <w:t>(c) Pack the nose with sterile gauze</w:t>
      </w:r>
    </w:p>
    <w:p>
      <w:pPr>
        <w:spacing w:after="0" w:before="0"/>
      </w:pPr>
      <w:r>
        <w:rPr>
          <w:b w:val="0"/>
          <w:sz w:val="22"/>
        </w:rPr>
        <w:t>(d) Place the client in the Trendelenburg position</w:t>
      </w:r>
    </w:p>
    <w:p>
      <w:pPr>
        <w:spacing w:after="0" w:before="40"/>
      </w:pPr>
      <w:r>
        <w:rPr>
          <w:b/>
          <w:sz w:val="22"/>
        </w:rPr>
        <w:t>Answer: a</w:t>
      </w:r>
    </w:p>
    <w:p>
      <w:pPr>
        <w:spacing w:after="0" w:before="0"/>
      </w:pPr>
      <w:r>
        <w:rPr>
          <w:b w:val="0"/>
          <w:sz w:val="21"/>
        </w:rPr>
        <w:t>Solution: Clear nasal drainage after head injury is likely CSF (rhinorrhea); it is tested for glucose, and suctioning or packing is avoided because it can introduce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positions promotes maximal respiratory functioning in a client?</w:t>
      </w:r>
    </w:p>
    <w:p>
      <w:pPr>
        <w:spacing w:after="0" w:before="0"/>
      </w:pPr>
      <w:r>
        <w:rPr>
          <w:b w:val="0"/>
          <w:sz w:val="22"/>
        </w:rPr>
        <w:t>(a) Low fowler`s position</w:t>
      </w:r>
    </w:p>
    <w:p>
      <w:pPr>
        <w:spacing w:after="0" w:before="0"/>
      </w:pPr>
      <w:r>
        <w:rPr>
          <w:b w:val="0"/>
          <w:sz w:val="22"/>
        </w:rPr>
        <w:t>(b) Sitting with lean down position</w:t>
      </w:r>
    </w:p>
    <w:p>
      <w:pPr>
        <w:spacing w:after="0" w:before="0"/>
      </w:pPr>
      <w:r>
        <w:rPr>
          <w:b w:val="0"/>
          <w:sz w:val="22"/>
        </w:rPr>
        <w:t>(c) Left lateral position</w:t>
      </w:r>
    </w:p>
    <w:p>
      <w:pPr>
        <w:spacing w:after="0" w:before="0"/>
      </w:pPr>
      <w:r>
        <w:rPr>
          <w:b w:val="0"/>
          <w:sz w:val="22"/>
        </w:rPr>
        <w:t>(d) Lithotomy position</w:t>
      </w:r>
    </w:p>
    <w:p>
      <w:pPr>
        <w:spacing w:after="0" w:before="40"/>
      </w:pPr>
      <w:r>
        <w:rPr>
          <w:b/>
          <w:sz w:val="22"/>
        </w:rPr>
        <w:t>Answer: b</w:t>
      </w:r>
    </w:p>
    <w:p>
      <w:pPr>
        <w:spacing w:after="0" w:before="0"/>
      </w:pPr>
      <w:r>
        <w:rPr>
          <w:b w:val="0"/>
          <w:sz w:val="21"/>
        </w:rPr>
        <w:t>Solution: The position that promotes maximal respiratory functioning in a client is sitting with a lean-down position, which is the correct answer (a). When a client is sitting with a lean-down position, the diaphragm is allowed to move more freely, expanding the lung capacity and facilitating optimal respiratory function. This position reduces the pressure on the chest and abdomen, allowing for easier breathing. It is commonly used for patients with respiratory distress or compromised lung function to optimize their oxygenation and ventilation.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considered the best site for intramuscular (IM) injection in an infant?</w:t>
      </w:r>
    </w:p>
    <w:p>
      <w:pPr>
        <w:spacing w:after="0" w:before="0"/>
      </w:pPr>
      <w:r>
        <w:rPr>
          <w:b w:val="0"/>
          <w:sz w:val="22"/>
        </w:rPr>
        <w:t>(a) Dorsogluteal muscles</w:t>
      </w:r>
    </w:p>
    <w:p>
      <w:pPr>
        <w:spacing w:after="0" w:before="0"/>
      </w:pPr>
      <w:r>
        <w:rPr>
          <w:b w:val="0"/>
          <w:sz w:val="22"/>
        </w:rPr>
        <w:t>(b) Deltoid muscles</w:t>
      </w:r>
    </w:p>
    <w:p>
      <w:pPr>
        <w:spacing w:after="0" w:before="0"/>
      </w:pPr>
      <w:r>
        <w:rPr>
          <w:b w:val="0"/>
          <w:sz w:val="22"/>
        </w:rPr>
        <w:t>(c) Femoral muscle</w:t>
      </w:r>
    </w:p>
    <w:p>
      <w:pPr>
        <w:spacing w:after="0" w:before="0"/>
      </w:pPr>
      <w:r>
        <w:rPr>
          <w:b w:val="0"/>
          <w:sz w:val="22"/>
        </w:rPr>
        <w:t>(d) Vastus lateralis muscles</w:t>
      </w:r>
    </w:p>
    <w:p>
      <w:pPr>
        <w:spacing w:after="0" w:before="40"/>
      </w:pPr>
      <w:r>
        <w:rPr>
          <w:b/>
          <w:sz w:val="22"/>
        </w:rPr>
        <w:t>Answer: d</w:t>
      </w:r>
    </w:p>
    <w:p>
      <w:pPr>
        <w:spacing w:after="0" w:before="0"/>
      </w:pPr>
      <w:r>
        <w:rPr>
          <w:b w:val="0"/>
          <w:sz w:val="21"/>
        </w:rPr>
        <w:t>Solution: The best site for intramuscular (IM) injection in an infant is the vastus lateralis muscle. The vastus lateralis is located on the anterior lateral aspect of the thigh. It is a large, well-developed muscle in infants and young children, making it an ideal site for IM injections. The muscle has a thick mass of tissue and is less susceptible to injury or nerve damage during the injection. Additionally, the vastus lateralis has a good blood supply, allowing for efficient absorption of the medication.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communication technique is most therapeutic for a withdrawn, depressed client?</w:t>
      </w:r>
    </w:p>
    <w:p>
      <w:pPr>
        <w:spacing w:after="0" w:before="0"/>
      </w:pPr>
      <w:r>
        <w:rPr>
          <w:b w:val="0"/>
          <w:sz w:val="22"/>
        </w:rPr>
        <w:t>(a) 'Tell me more about how you are feeling.'</w:t>
      </w:r>
    </w:p>
    <w:p>
      <w:pPr>
        <w:spacing w:after="0" w:before="0"/>
      </w:pPr>
      <w:r>
        <w:rPr>
          <w:b w:val="0"/>
          <w:sz w:val="22"/>
        </w:rPr>
        <w:t>(b) 'You should not feel so sad.'</w:t>
      </w:r>
    </w:p>
    <w:p>
      <w:pPr>
        <w:spacing w:after="0" w:before="0"/>
      </w:pPr>
      <w:r>
        <w:rPr>
          <w:b w:val="0"/>
          <w:sz w:val="22"/>
        </w:rPr>
        <w:t>(c) 'Everyone feels sad sometimes.'</w:t>
      </w:r>
    </w:p>
    <w:p>
      <w:pPr>
        <w:spacing w:after="0" w:before="0"/>
      </w:pPr>
      <w:r>
        <w:rPr>
          <w:b w:val="0"/>
          <w:sz w:val="22"/>
        </w:rPr>
        <w:t>(d) 'Why do you feel this way?'</w:t>
      </w:r>
    </w:p>
    <w:p>
      <w:pPr>
        <w:spacing w:after="0" w:before="40"/>
      </w:pPr>
      <w:r>
        <w:rPr>
          <w:b/>
          <w:sz w:val="22"/>
        </w:rPr>
        <w:t>Answer: a</w:t>
      </w:r>
    </w:p>
    <w:p>
      <w:pPr>
        <w:spacing w:after="0" w:before="0"/>
      </w:pPr>
      <w:r>
        <w:rPr>
          <w:b w:val="0"/>
          <w:sz w:val="21"/>
        </w:rPr>
        <w:t>Solution: Open-ended, accepting statements ('Tell me more…') encourage expression; the other responses judge, belittle or close off communication.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Attach pulse oximetry on right side</w:t>
      </w:r>
    </w:p>
    <w:p>
      <w:pPr>
        <w:spacing w:after="0" w:before="0"/>
      </w:pPr>
      <w:r>
        <w:rPr>
          <w:b w:val="0"/>
          <w:sz w:val="22"/>
        </w:rPr>
        <w:t>(b) Attach pulse oximetry on left side</w:t>
      </w:r>
    </w:p>
    <w:p>
      <w:pPr>
        <w:spacing w:after="0" w:before="0"/>
      </w:pPr>
      <w:r>
        <w:rPr>
          <w:b w:val="0"/>
          <w:sz w:val="22"/>
        </w:rPr>
        <w:t>(c) Take BP from right side</w:t>
      </w:r>
    </w:p>
    <w:p>
      <w:pPr>
        <w:spacing w:after="0" w:before="0"/>
      </w:pPr>
      <w:r>
        <w:rPr>
          <w:b w:val="0"/>
          <w:sz w:val="22"/>
        </w:rPr>
        <w:t>(d) Take BP from left side</w:t>
      </w:r>
    </w:p>
    <w:p>
      <w:pPr>
        <w:spacing w:after="0" w:before="40"/>
      </w:pPr>
      <w:r>
        <w:rPr>
          <w:b/>
          <w:sz w:val="22"/>
        </w:rPr>
        <w:t>Answer: d</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an X-linked dominant disorder?</w:t>
      </w:r>
    </w:p>
    <w:p>
      <w:pPr>
        <w:spacing w:after="0" w:before="0"/>
      </w:pPr>
      <w:r>
        <w:rPr>
          <w:b w:val="0"/>
          <w:sz w:val="22"/>
        </w:rPr>
        <w:t>(a) Colour blindness</w:t>
      </w:r>
    </w:p>
    <w:p>
      <w:pPr>
        <w:spacing w:after="0" w:before="0"/>
      </w:pPr>
      <w:r>
        <w:rPr>
          <w:b w:val="0"/>
          <w:sz w:val="22"/>
        </w:rPr>
        <w:t>(b) Duchenne muscular dystrophy</w:t>
      </w:r>
    </w:p>
    <w:p>
      <w:pPr>
        <w:spacing w:after="0" w:before="0"/>
      </w:pPr>
      <w:r>
        <w:rPr>
          <w:b w:val="0"/>
          <w:sz w:val="22"/>
        </w:rPr>
        <w:t>(c) Vitamin D-resistant rickets</w:t>
      </w:r>
    </w:p>
    <w:p>
      <w:pPr>
        <w:spacing w:after="0" w:before="0"/>
      </w:pPr>
      <w:r>
        <w:rPr>
          <w:b w:val="0"/>
          <w:sz w:val="22"/>
        </w:rPr>
        <w:t>(d) Haemophilia</w:t>
      </w:r>
    </w:p>
    <w:p>
      <w:pPr>
        <w:spacing w:after="0" w:before="40"/>
      </w:pPr>
      <w:r>
        <w:rPr>
          <w:b/>
          <w:sz w:val="22"/>
        </w:rPr>
        <w:t>Answer: c</w:t>
      </w:r>
    </w:p>
    <w:p>
      <w:pPr>
        <w:spacing w:after="0" w:before="0"/>
      </w:pPr>
      <w:r>
        <w:rPr>
          <w:b w:val="0"/>
          <w:sz w:val="21"/>
        </w:rPr>
        <w:t>Solution: X-linked dominant disorders (e.g., vitamin D-resistant rickets) affect both sexes and an affected male transmits the trait to all daughters but to no sons; haemophilia, colour blindness and DMD are X-linked recessive.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position for a patient with a suspected head injury is:</w:t>
      </w:r>
    </w:p>
    <w:p>
      <w:pPr>
        <w:spacing w:after="0" w:before="0"/>
      </w:pPr>
      <w:r>
        <w:rPr>
          <w:b w:val="0"/>
          <w:sz w:val="22"/>
        </w:rPr>
        <w:t>(a) Head elevated 30 degrees</w:t>
      </w:r>
    </w:p>
    <w:p>
      <w:pPr>
        <w:spacing w:after="0" w:before="0"/>
      </w:pPr>
      <w:r>
        <w:rPr>
          <w:b w:val="0"/>
          <w:sz w:val="22"/>
        </w:rPr>
        <w:t>(b) Flat supine</w:t>
      </w:r>
    </w:p>
    <w:p>
      <w:pPr>
        <w:spacing w:after="0" w:before="0"/>
      </w:pPr>
      <w:r>
        <w:rPr>
          <w:b w:val="0"/>
          <w:sz w:val="22"/>
        </w:rPr>
        <w:t>(c) Trendelenburg</w:t>
      </w:r>
    </w:p>
    <w:p>
      <w:pPr>
        <w:spacing w:after="0" w:before="0"/>
      </w:pPr>
      <w:r>
        <w:rPr>
          <w:b w:val="0"/>
          <w:sz w:val="22"/>
        </w:rPr>
        <w:t>(d) Prone</w:t>
      </w:r>
    </w:p>
    <w:p>
      <w:pPr>
        <w:spacing w:after="0" w:before="40"/>
      </w:pPr>
      <w:r>
        <w:rPr>
          <w:b/>
          <w:sz w:val="22"/>
        </w:rPr>
        <w:t>Answer: a</w:t>
      </w:r>
    </w:p>
    <w:p>
      <w:pPr>
        <w:spacing w:after="0" w:before="0"/>
      </w:pPr>
      <w:r>
        <w:rPr>
          <w:b w:val="0"/>
          <w:sz w:val="21"/>
        </w:rPr>
        <w:t>Solution: Elevating the head 30 degrees promotes venous drainage and reduces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WHO, duration for hand washing with handrub or alcohol based sanitizer?</w:t>
      </w:r>
    </w:p>
    <w:p>
      <w:pPr>
        <w:spacing w:after="0" w:before="0"/>
      </w:pPr>
      <w:r>
        <w:rPr>
          <w:b w:val="0"/>
          <w:sz w:val="22"/>
        </w:rPr>
        <w:t>(a) 40-60 sec</w:t>
      </w:r>
    </w:p>
    <w:p>
      <w:pPr>
        <w:spacing w:after="0" w:before="0"/>
      </w:pPr>
      <w:r>
        <w:rPr>
          <w:b w:val="0"/>
          <w:sz w:val="22"/>
        </w:rPr>
        <w:t>(b) 20-30 sec</w:t>
      </w:r>
    </w:p>
    <w:p>
      <w:pPr>
        <w:spacing w:after="0" w:before="0"/>
      </w:pPr>
      <w:r>
        <w:rPr>
          <w:b w:val="0"/>
          <w:sz w:val="22"/>
        </w:rPr>
        <w:t>(c) 3-5 min.</w:t>
      </w:r>
    </w:p>
    <w:p>
      <w:pPr>
        <w:spacing w:after="0" w:before="0"/>
      </w:pPr>
      <w:r>
        <w:rPr>
          <w:b w:val="0"/>
          <w:sz w:val="22"/>
        </w:rPr>
        <w:t>(d) 10-20 sec</w:t>
      </w:r>
    </w:p>
    <w:p>
      <w:pPr>
        <w:spacing w:after="0" w:before="40"/>
      </w:pPr>
      <w:r>
        <w:rPr>
          <w:b/>
          <w:sz w:val="22"/>
        </w:rPr>
        <w:t>Answer: b</w:t>
      </w:r>
    </w:p>
    <w:p>
      <w:pPr>
        <w:spacing w:after="0" w:before="0"/>
      </w:pPr>
      <w:r>
        <w:rPr>
          <w:b w:val="0"/>
          <w:sz w:val="21"/>
        </w:rPr>
        <w:t>Solution: According to the World Health Organization (WHO), the recommended duration for hand washing with a hand rub or alcohol-based sanitizer is 20-30 seconds (option A). Hand rubs or sanitizers containing at least 60% alcohol are effective in killing many types of microorganisms on the hands when used properly. To ensure thorough hand hygiene, it is important to cover all surfaces of the hands with the sanitizer and rub them together until dry. This duration allows sufficient contact time for the alcohol to effectively eliminate the pathogens present on the skin. Adhering to the recommended hand hygiene practices, including the appropriate duration of hand rubbing, is crucial in preventing the transmission of infections.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Place the client flat and wait for the surgeon</w:t>
      </w:r>
    </w:p>
    <w:p>
      <w:pPr>
        <w:spacing w:after="0" w:before="0"/>
      </w:pPr>
      <w:r>
        <w:rPr>
          <w:b w:val="0"/>
          <w:sz w:val="22"/>
        </w:rPr>
        <w:t>(b) Apply a dry sterile dressing</w:t>
      </w:r>
    </w:p>
    <w:p>
      <w:pPr>
        <w:spacing w:after="0" w:before="0"/>
      </w:pPr>
      <w:r>
        <w:rPr>
          <w:b w:val="0"/>
          <w:sz w:val="22"/>
        </w:rPr>
        <w:t>(c) Gently push the bowel back into the abdomen</w:t>
      </w:r>
    </w:p>
    <w:p>
      <w:pPr>
        <w:spacing w:after="0" w:before="0"/>
      </w:pPr>
      <w:r>
        <w:rPr>
          <w:b w:val="0"/>
          <w:sz w:val="22"/>
        </w:rPr>
        <w:t>(d) Cover the wound with sterile saline-soaked dressings</w:t>
      </w:r>
    </w:p>
    <w:p>
      <w:pPr>
        <w:spacing w:after="0" w:before="40"/>
      </w:pPr>
      <w:r>
        <w:rPr>
          <w:b/>
          <w:sz w:val="22"/>
        </w:rPr>
        <w:t>Answer: d</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food group serves as the richest dietary source of Folic Acid (Vitamin B9)?</w:t>
      </w:r>
    </w:p>
    <w:p>
      <w:pPr>
        <w:spacing w:after="0" w:before="0"/>
      </w:pPr>
      <w:r>
        <w:rPr>
          <w:b w:val="0"/>
          <w:sz w:val="22"/>
        </w:rPr>
        <w:t>(a) Whole milk</w:t>
      </w:r>
    </w:p>
    <w:p>
      <w:pPr>
        <w:spacing w:after="0" w:before="0"/>
      </w:pPr>
      <w:r>
        <w:rPr>
          <w:b w:val="0"/>
          <w:sz w:val="22"/>
        </w:rPr>
        <w:t>(b) Dark green leafy vegetables</w:t>
      </w:r>
    </w:p>
    <w:p>
      <w:pPr>
        <w:spacing w:after="0" w:before="0"/>
      </w:pPr>
      <w:r>
        <w:rPr>
          <w:b w:val="0"/>
          <w:sz w:val="22"/>
        </w:rPr>
        <w:t>(c) Red meat</w:t>
      </w:r>
    </w:p>
    <w:p>
      <w:pPr>
        <w:spacing w:after="0" w:before="0"/>
      </w:pPr>
      <w:r>
        <w:rPr>
          <w:b w:val="0"/>
          <w:sz w:val="22"/>
        </w:rPr>
        <w:t>(d) Banana</w:t>
      </w:r>
    </w:p>
    <w:p>
      <w:pPr>
        <w:spacing w:after="0" w:before="40"/>
      </w:pPr>
      <w:r>
        <w:rPr>
          <w:b/>
          <w:sz w:val="22"/>
        </w:rPr>
        <w:t>Answer: b</w:t>
      </w:r>
    </w:p>
    <w:p>
      <w:pPr>
        <w:spacing w:after="0" w:before="0"/>
      </w:pPr>
      <w:r>
        <w:rPr>
          <w:b w:val="0"/>
          <w:sz w:val="21"/>
        </w:rPr>
        <w:t>Solution: Dark green leafy vegetables (spinach, kale, broccoli), legumes, and liver are the richest natural sources of Folic Acid (Folate).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Pinch the nostrils and lean forward</w:t>
      </w:r>
    </w:p>
    <w:p>
      <w:pPr>
        <w:spacing w:after="0" w:before="0"/>
      </w:pPr>
      <w:r>
        <w:rPr>
          <w:b w:val="0"/>
          <w:sz w:val="22"/>
        </w:rPr>
        <w:t>(b) Tilt the head backwards</w:t>
      </w:r>
    </w:p>
    <w:p>
      <w:pPr>
        <w:spacing w:after="0" w:before="0"/>
      </w:pPr>
      <w:r>
        <w:rPr>
          <w:b w:val="0"/>
          <w:sz w:val="22"/>
        </w:rPr>
        <w:t>(c) Apply cold pack to the feet</w:t>
      </w:r>
    </w:p>
    <w:p>
      <w:pPr>
        <w:spacing w:after="0" w:before="0"/>
      </w:pPr>
      <w:r>
        <w:rPr>
          <w:b w:val="0"/>
          <w:sz w:val="22"/>
        </w:rPr>
        <w:t>(d) Insert a cotton plug in the ear</w:t>
      </w:r>
    </w:p>
    <w:p>
      <w:pPr>
        <w:spacing w:after="0" w:before="40"/>
      </w:pPr>
      <w:r>
        <w:rPr>
          <w:b/>
          <w:sz w:val="22"/>
        </w:rPr>
        <w:t>Answer: a</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How to measure the uterine contraction of the pregnant lady who is on labor pain?</w:t>
      </w:r>
    </w:p>
    <w:p>
      <w:pPr>
        <w:spacing w:after="0" w:before="0"/>
      </w:pPr>
      <w:r>
        <w:rPr>
          <w:b w:val="0"/>
          <w:sz w:val="22"/>
        </w:rPr>
        <w:t>(a) Assess by performing Leopolds maneuver</w:t>
      </w:r>
    </w:p>
    <w:p>
      <w:pPr>
        <w:spacing w:after="0" w:before="0"/>
      </w:pPr>
      <w:r>
        <w:rPr>
          <w:b w:val="0"/>
          <w:sz w:val="22"/>
        </w:rPr>
        <w:t>(b) Assess by placing the hand on abdomen</w:t>
      </w:r>
    </w:p>
    <w:p>
      <w:pPr>
        <w:spacing w:after="0" w:before="0"/>
      </w:pPr>
      <w:r>
        <w:rPr>
          <w:b w:val="0"/>
          <w:sz w:val="22"/>
        </w:rPr>
        <w:t>(c) Asking question to the lady</w:t>
      </w:r>
    </w:p>
    <w:p>
      <w:pPr>
        <w:spacing w:after="0" w:before="0"/>
      </w:pPr>
      <w:r>
        <w:rPr>
          <w:b w:val="0"/>
          <w:sz w:val="22"/>
        </w:rPr>
        <w:t>(d) By using partograph</w:t>
      </w:r>
    </w:p>
    <w:p>
      <w:pPr>
        <w:spacing w:after="0" w:before="40"/>
      </w:pPr>
      <w:r>
        <w:rPr>
          <w:b/>
          <w:sz w:val="22"/>
        </w:rPr>
        <w:t>Answer: b</w:t>
      </w:r>
    </w:p>
    <w:p>
      <w:pPr>
        <w:spacing w:after="0" w:before="0"/>
      </w:pPr>
      <w:r>
        <w:rPr>
          <w:b w:val="0"/>
          <w:sz w:val="21"/>
        </w:rPr>
        <w:t>Solution: To measure uterine contractions in a pregnant woman in labor pain, the appropriate method is C: Assess by placing the hand on the abdomen. The healthcare provider or nurse can assess the intensity and frequency of uterine contractions by palpating the woman's abdomen. By placing their hand on the abdomen, they can feel the uterus during contractions and assess the strength and duration of the contractions. This method is a non-invasive and commonly used technique to monitor labor progress and determine the Female repro ductive - system &lt; OBGY Labor ( effectiveness of contractions in promoting cervical dilation and labor progression.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treatment guidelines is NOT recommended in dengue fever?</w:t>
      </w:r>
    </w:p>
    <w:p>
      <w:pPr>
        <w:spacing w:after="0" w:before="0"/>
      </w:pPr>
      <w:r>
        <w:rPr>
          <w:b w:val="0"/>
          <w:sz w:val="22"/>
        </w:rPr>
        <w:t>(a) Rest and sleep</w:t>
      </w:r>
    </w:p>
    <w:p>
      <w:pPr>
        <w:spacing w:after="0" w:before="0"/>
      </w:pPr>
      <w:r>
        <w:rPr>
          <w:b w:val="0"/>
          <w:sz w:val="22"/>
        </w:rPr>
        <w:t>(b) Staying well hydrated</w:t>
      </w:r>
    </w:p>
    <w:p>
      <w:pPr>
        <w:spacing w:after="0" w:before="0"/>
      </w:pPr>
      <w:r>
        <w:rPr>
          <w:b w:val="0"/>
          <w:sz w:val="22"/>
        </w:rPr>
        <w:t>(c) Use of oral acetaminophen (paracetamol)</w:t>
      </w:r>
    </w:p>
    <w:p>
      <w:pPr>
        <w:spacing w:after="0" w:before="0"/>
      </w:pPr>
      <w:r>
        <w:rPr>
          <w:b w:val="0"/>
          <w:sz w:val="22"/>
        </w:rPr>
        <w:t>(d) Use of NSAIDs such as ibuprofen</w:t>
      </w:r>
    </w:p>
    <w:p>
      <w:pPr>
        <w:spacing w:after="0" w:before="40"/>
      </w:pPr>
      <w:r>
        <w:rPr>
          <w:b/>
          <w:sz w:val="22"/>
        </w:rPr>
        <w:t>Answer: d</w:t>
      </w:r>
    </w:p>
    <w:p>
      <w:pPr>
        <w:spacing w:after="0" w:before="0"/>
      </w:pPr>
      <w:r>
        <w:rPr>
          <w:b w:val="0"/>
          <w:sz w:val="21"/>
        </w:rPr>
        <w:t>Solution: NSAIDs are NOT recommended in dengue fever because they interfere with platelet function and increase the risk of bleeding; hydration, rest and oral acetaminophen (paracetamol) are the recommended measures.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intervention for a patient with tension pneumothorax?</w:t>
      </w:r>
    </w:p>
    <w:p>
      <w:pPr>
        <w:spacing w:after="0" w:before="0"/>
      </w:pPr>
      <w:r>
        <w:rPr>
          <w:b w:val="0"/>
          <w:sz w:val="22"/>
        </w:rPr>
        <w:t>(a) No intervention is needed</w:t>
      </w:r>
    </w:p>
    <w:p>
      <w:pPr>
        <w:spacing w:after="0" w:before="0"/>
      </w:pPr>
      <w:r>
        <w:rPr>
          <w:b w:val="0"/>
          <w:sz w:val="22"/>
        </w:rPr>
        <w:t>(b) Insert a chest tube in the 6th-7th intercostal space</w:t>
      </w:r>
    </w:p>
    <w:p>
      <w:pPr>
        <w:spacing w:after="0" w:before="0"/>
      </w:pPr>
      <w:r>
        <w:rPr>
          <w:b w:val="0"/>
          <w:sz w:val="22"/>
        </w:rPr>
        <w:t>(c) Needle decompression at the 2nd intercostal space, midclavicular line</w:t>
      </w:r>
    </w:p>
    <w:p>
      <w:pPr>
        <w:spacing w:after="0" w:before="0"/>
      </w:pPr>
      <w:r>
        <w:rPr>
          <w:b w:val="0"/>
          <w:sz w:val="22"/>
        </w:rPr>
        <w:t>(d) Insert a chest tube in the 8th-9th intercostal space</w:t>
      </w:r>
    </w:p>
    <w:p>
      <w:pPr>
        <w:spacing w:after="0" w:before="40"/>
      </w:pPr>
      <w:r>
        <w:rPr>
          <w:b/>
          <w:sz w:val="22"/>
        </w:rPr>
        <w:t>Answer: c</w:t>
      </w:r>
    </w:p>
    <w:p>
      <w:pPr>
        <w:spacing w:after="0" w:before="0"/>
      </w:pPr>
      <w:r>
        <w:rPr>
          <w:b w:val="0"/>
          <w:sz w:val="21"/>
        </w:rPr>
        <w:t>Solution: Tension pneumothorax is a life-threatening emergency; immediate needle decompression is done at the 2nd intercostal space, midclavicular line, followed by chest tube insertion.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finding in a client receiving a blood transfusion requires the nurse to STOP the transfusion immediately?</w:t>
      </w:r>
    </w:p>
    <w:p>
      <w:pPr>
        <w:spacing w:after="0" w:before="0"/>
      </w:pPr>
      <w:r>
        <w:rPr>
          <w:b w:val="0"/>
          <w:sz w:val="22"/>
        </w:rPr>
        <w:t>(a) Temperature 38.9°C with chills and low back pain</w:t>
      </w:r>
    </w:p>
    <w:p>
      <w:pPr>
        <w:spacing w:after="0" w:before="0"/>
      </w:pPr>
      <w:r>
        <w:rPr>
          <w:b w:val="0"/>
          <w:sz w:val="22"/>
        </w:rPr>
        <w:t>(b) Slight redness around the IV site</w:t>
      </w:r>
    </w:p>
    <w:p>
      <w:pPr>
        <w:spacing w:after="0" w:before="0"/>
      </w:pPr>
      <w:r>
        <w:rPr>
          <w:b w:val="0"/>
          <w:sz w:val="22"/>
        </w:rPr>
        <w:t>(c) Heart rate increase of 6 beats/min</w:t>
      </w:r>
    </w:p>
    <w:p>
      <w:pPr>
        <w:spacing w:after="0" w:before="0"/>
      </w:pPr>
      <w:r>
        <w:rPr>
          <w:b w:val="0"/>
          <w:sz w:val="22"/>
        </w:rPr>
        <w:t>(d) Mild headache</w:t>
      </w:r>
    </w:p>
    <w:p>
      <w:pPr>
        <w:spacing w:after="0" w:before="40"/>
      </w:pPr>
      <w:r>
        <w:rPr>
          <w:b/>
          <w:sz w:val="22"/>
        </w:rPr>
        <w:t>Answer: a</w:t>
      </w:r>
    </w:p>
    <w:p>
      <w:pPr>
        <w:spacing w:after="0" w:before="0"/>
      </w:pPr>
      <w:r>
        <w:rPr>
          <w:b w:val="0"/>
          <w:sz w:val="21"/>
        </w:rPr>
        <w:t>Solution: Fever, chills and low back pain are the classic triad of a hemolytic transfusion reaction; the infusion must be stopped at once and the blood returned to the blood bank.</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