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needle is most appropriate for a subcutaneous injection?</w:t>
      </w:r>
    </w:p>
    <w:p>
      <w:pPr>
        <w:spacing w:after="0" w:before="0"/>
      </w:pPr>
      <w:r>
        <w:rPr>
          <w:b w:val="0"/>
          <w:sz w:val="22"/>
        </w:rPr>
        <w:t>(a) 14-16 gauge, 2 inch</w:t>
      </w:r>
    </w:p>
    <w:p>
      <w:pPr>
        <w:spacing w:after="0" w:before="0"/>
      </w:pPr>
      <w:r>
        <w:rPr>
          <w:b w:val="0"/>
          <w:sz w:val="22"/>
        </w:rPr>
        <w:t>(b) 25-27 gauge, 5/8 inch</w:t>
      </w:r>
    </w:p>
    <w:p>
      <w:pPr>
        <w:spacing w:after="0" w:before="0"/>
      </w:pPr>
      <w:r>
        <w:rPr>
          <w:b w:val="0"/>
          <w:sz w:val="22"/>
        </w:rPr>
        <w:t>(c) 22 gauge, 1½ inch</w:t>
      </w:r>
    </w:p>
    <w:p>
      <w:pPr>
        <w:spacing w:after="0" w:before="0"/>
      </w:pPr>
      <w:r>
        <w:rPr>
          <w:b w:val="0"/>
          <w:sz w:val="22"/>
        </w:rPr>
        <w:t>(d) 18-20 gauge, 1½ inch</w:t>
      </w:r>
    </w:p>
    <w:p>
      <w:pPr>
        <w:spacing w:after="0" w:before="40"/>
      </w:pPr>
      <w:r>
        <w:rPr>
          <w:b/>
          <w:sz w:val="22"/>
        </w:rPr>
        <w:t>Answer: b</w:t>
      </w:r>
    </w:p>
    <w:p>
      <w:pPr>
        <w:spacing w:after="0" w:before="0"/>
      </w:pPr>
      <w:r>
        <w:rPr>
          <w:b w:val="0"/>
          <w:sz w:val="21"/>
        </w:rPr>
        <w:t>Solution: Subcutaneous injections use a short, fine needle (25-27 gauge, ⅝ inch) to deposit medication into the subcutaneous layer at a 45° angle.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should position a patient after lumbar puncture in:</w:t>
      </w:r>
    </w:p>
    <w:p>
      <w:pPr>
        <w:spacing w:after="0" w:before="0"/>
      </w:pPr>
      <w:r>
        <w:rPr>
          <w:b w:val="0"/>
          <w:sz w:val="22"/>
        </w:rPr>
        <w:t>(a) Sitting upright</w:t>
      </w:r>
    </w:p>
    <w:p>
      <w:pPr>
        <w:spacing w:after="0" w:before="0"/>
      </w:pPr>
      <w:r>
        <w:rPr>
          <w:b w:val="0"/>
          <w:sz w:val="22"/>
        </w:rPr>
        <w:t>(b) Flat (supine) for a few hours</w:t>
      </w:r>
    </w:p>
    <w:p>
      <w:pPr>
        <w:spacing w:after="0" w:before="0"/>
      </w:pPr>
      <w:r>
        <w:rPr>
          <w:b w:val="0"/>
          <w:sz w:val="22"/>
        </w:rPr>
        <w:t>(c) Trendelenburg</w:t>
      </w:r>
    </w:p>
    <w:p>
      <w:pPr>
        <w:spacing w:after="0" w:before="0"/>
      </w:pPr>
      <w:r>
        <w:rPr>
          <w:b w:val="0"/>
          <w:sz w:val="22"/>
        </w:rPr>
        <w:t>(d) Prone</w:t>
      </w:r>
    </w:p>
    <w:p>
      <w:pPr>
        <w:spacing w:after="0" w:before="40"/>
      </w:pPr>
      <w:r>
        <w:rPr>
          <w:b/>
          <w:sz w:val="22"/>
        </w:rPr>
        <w:t>Answer: b</w:t>
      </w:r>
    </w:p>
    <w:p>
      <w:pPr>
        <w:spacing w:after="0" w:before="0"/>
      </w:pPr>
      <w:r>
        <w:rPr>
          <w:b w:val="0"/>
          <w:sz w:val="21"/>
        </w:rPr>
        <w:t>Solution: The patient lies flat for a few hours after lumbar puncture to prevent post-dural puncture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infant has undergone for VP (ventriculoperitoneal) shunt surgical procedure. On the assessment how will you assess the sign of increased ICP?</w:t>
      </w:r>
    </w:p>
    <w:p>
      <w:pPr>
        <w:spacing w:after="0" w:before="0"/>
      </w:pPr>
      <w:r>
        <w:rPr>
          <w:b w:val="0"/>
          <w:sz w:val="22"/>
        </w:rPr>
        <w:t>(a) Respiration</w:t>
      </w:r>
    </w:p>
    <w:p>
      <w:pPr>
        <w:spacing w:after="0" w:before="0"/>
      </w:pPr>
      <w:r>
        <w:rPr>
          <w:b w:val="0"/>
          <w:sz w:val="22"/>
        </w:rPr>
        <w:t>(b) Urine output</w:t>
      </w:r>
    </w:p>
    <w:p>
      <w:pPr>
        <w:spacing w:after="0" w:before="0"/>
      </w:pPr>
      <w:r>
        <w:rPr>
          <w:b w:val="0"/>
          <w:sz w:val="22"/>
        </w:rPr>
        <w:t>(c) Anterior fontanel assessment</w:t>
      </w:r>
    </w:p>
    <w:p>
      <w:pPr>
        <w:spacing w:after="0" w:before="0"/>
      </w:pPr>
      <w:r>
        <w:rPr>
          <w:b w:val="0"/>
          <w:sz w:val="22"/>
        </w:rPr>
        <w:t>(d) Blood pressure</w:t>
      </w:r>
    </w:p>
    <w:p>
      <w:pPr>
        <w:spacing w:after="0" w:before="40"/>
      </w:pPr>
      <w:r>
        <w:rPr>
          <w:b/>
          <w:sz w:val="22"/>
        </w:rPr>
        <w:t>Answer: c</w:t>
      </w:r>
    </w:p>
    <w:p>
      <w:pPr>
        <w:spacing w:after="0" w:before="0"/>
      </w:pPr>
      <w:r>
        <w:rPr>
          <w:b w:val="0"/>
          <w:sz w:val="21"/>
        </w:rPr>
        <w:t>Solution: After VP shunt surgery, the anterior fontanelle is assessed for bulging or depression as an indicator of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is used as a 2% cold liquid sterilant for endoscopic and laparoscopic instruments?</w:t>
      </w:r>
    </w:p>
    <w:p>
      <w:pPr>
        <w:spacing w:after="0" w:before="0"/>
      </w:pPr>
      <w:r>
        <w:rPr>
          <w:b w:val="0"/>
          <w:sz w:val="22"/>
        </w:rPr>
        <w:t>(a) Forceps cleaner</w:t>
      </w:r>
    </w:p>
    <w:p>
      <w:pPr>
        <w:spacing w:after="0" w:before="0"/>
      </w:pPr>
      <w:r>
        <w:rPr>
          <w:b w:val="0"/>
          <w:sz w:val="22"/>
        </w:rPr>
        <w:t>(b) Alcohol</w:t>
      </w:r>
    </w:p>
    <w:p>
      <w:pPr>
        <w:spacing w:after="0" w:before="0"/>
      </w:pPr>
      <w:r>
        <w:rPr>
          <w:b w:val="0"/>
          <w:sz w:val="22"/>
        </w:rPr>
        <w:t>(c) Glutaraldehyde (Cidex)</w:t>
      </w:r>
    </w:p>
    <w:p>
      <w:pPr>
        <w:spacing w:after="0" w:before="0"/>
      </w:pPr>
      <w:r>
        <w:rPr>
          <w:b w:val="0"/>
          <w:sz w:val="22"/>
        </w:rPr>
        <w:t>(d) Phenol</w:t>
      </w:r>
    </w:p>
    <w:p>
      <w:pPr>
        <w:spacing w:after="0" w:before="40"/>
      </w:pPr>
      <w:r>
        <w:rPr>
          <w:b/>
          <w:sz w:val="22"/>
        </w:rPr>
        <w:t>Answer: c</w:t>
      </w:r>
    </w:p>
    <w:p>
      <w:pPr>
        <w:spacing w:after="0" w:before="0"/>
      </w:pPr>
      <w:r>
        <w:rPr>
          <w:b w:val="0"/>
          <w:sz w:val="21"/>
        </w:rPr>
        <w:t>Solution: 2% Glutaraldehyde is a potent sporicidal cold chemical sterilant used for immersing heat-sensitive flexible endoscopes and surgical instruments.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Addison's disease, the nurse should observe the patient for:</w:t>
      </w:r>
    </w:p>
    <w:p>
      <w:pPr>
        <w:spacing w:after="0" w:before="0"/>
      </w:pPr>
      <w:r>
        <w:rPr>
          <w:b w:val="0"/>
          <w:sz w:val="22"/>
        </w:rPr>
        <w:t>(a) Hypertension and oedema</w:t>
      </w:r>
    </w:p>
    <w:p>
      <w:pPr>
        <w:spacing w:after="0" w:before="0"/>
      </w:pPr>
      <w:r>
        <w:rPr>
          <w:b w:val="0"/>
          <w:sz w:val="22"/>
        </w:rPr>
        <w:t>(b) Hyperthermia and polyuria</w:t>
      </w:r>
    </w:p>
    <w:p>
      <w:pPr>
        <w:spacing w:after="0" w:before="0"/>
      </w:pPr>
      <w:r>
        <w:rPr>
          <w:b w:val="0"/>
          <w:sz w:val="22"/>
        </w:rPr>
        <w:t>(c) Weight gain and moon face</w:t>
      </w:r>
    </w:p>
    <w:p>
      <w:pPr>
        <w:spacing w:after="0" w:before="0"/>
      </w:pPr>
      <w:r>
        <w:rPr>
          <w:b w:val="0"/>
          <w:sz w:val="22"/>
        </w:rPr>
        <w:t>(d) Hypotension and hyperpigmentation</w:t>
      </w:r>
    </w:p>
    <w:p>
      <w:pPr>
        <w:spacing w:after="0" w:before="40"/>
      </w:pPr>
      <w:r>
        <w:rPr>
          <w:b/>
          <w:sz w:val="22"/>
        </w:rPr>
        <w:t>Answer: d</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preparing the client's morning NPH insulin dose and notices a clumpy precipitate inside the insulin vial. The nurse should:</w:t>
      </w:r>
    </w:p>
    <w:p>
      <w:pPr>
        <w:spacing w:after="0" w:before="0"/>
      </w:pPr>
      <w:r>
        <w:rPr>
          <w:b w:val="0"/>
          <w:sz w:val="22"/>
        </w:rPr>
        <w:t>(a) Warm the bottle under running water to dissolve the clump.</w:t>
      </w:r>
    </w:p>
    <w:p>
      <w:pPr>
        <w:spacing w:after="0" w:before="0"/>
      </w:pPr>
      <w:r>
        <w:rPr>
          <w:b w:val="0"/>
          <w:sz w:val="22"/>
        </w:rPr>
        <w:t>(b) Draw up and administer the dose.</w:t>
      </w:r>
    </w:p>
    <w:p>
      <w:pPr>
        <w:spacing w:after="0" w:before="0"/>
      </w:pPr>
      <w:r>
        <w:rPr>
          <w:b w:val="0"/>
          <w:sz w:val="22"/>
        </w:rPr>
        <w:t>(c) Shake the vial in an attempt to disperse the clumps.</w:t>
      </w:r>
    </w:p>
    <w:p>
      <w:pPr>
        <w:spacing w:after="0" w:before="0"/>
      </w:pPr>
      <w:r>
        <w:rPr>
          <w:b w:val="0"/>
          <w:sz w:val="22"/>
        </w:rPr>
        <w:t>(d) Draw the dose from a new vial.</w:t>
      </w:r>
    </w:p>
    <w:p>
      <w:pPr>
        <w:spacing w:after="0" w:before="40"/>
      </w:pPr>
      <w:r>
        <w:rPr>
          <w:b/>
          <w:sz w:val="22"/>
        </w:rPr>
        <w:t>Answer: d</w:t>
      </w:r>
    </w:p>
    <w:p>
      <w:pPr>
        <w:spacing w:after="0" w:before="0"/>
      </w:pPr>
      <w:r>
        <w:rPr>
          <w:b w:val="0"/>
          <w:sz w:val="21"/>
        </w:rPr>
        <w:t>Solution: Clumping/precipitate in NPH insulin indicates loss of potency - discard the vial and draw the dose from a new vial.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Birth trauma</w:t>
      </w:r>
    </w:p>
    <w:p>
      <w:pPr>
        <w:spacing w:after="0" w:before="0"/>
      </w:pPr>
      <w:r>
        <w:rPr>
          <w:b w:val="0"/>
          <w:sz w:val="22"/>
        </w:rPr>
        <w:t>(b) Diarrhoea</w:t>
      </w:r>
    </w:p>
    <w:p>
      <w:pPr>
        <w:spacing w:after="0" w:before="0"/>
      </w:pPr>
      <w:r>
        <w:rPr>
          <w:b w:val="0"/>
          <w:sz w:val="22"/>
        </w:rPr>
        <w:t>(c) Prematurity</w:t>
      </w:r>
    </w:p>
    <w:p>
      <w:pPr>
        <w:spacing w:after="0" w:before="0"/>
      </w:pPr>
      <w:r>
        <w:rPr>
          <w:b w:val="0"/>
          <w:sz w:val="22"/>
        </w:rPr>
        <w:t>(d) Anaemia</w:t>
      </w:r>
    </w:p>
    <w:p>
      <w:pPr>
        <w:spacing w:after="0" w:before="40"/>
      </w:pPr>
      <w:r>
        <w:rPr>
          <w:b/>
          <w:sz w:val="22"/>
        </w:rPr>
        <w:t>Answer: c</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Emergency contraceptive pills (OCP/Levonorgestrel) must be taken within how many hours of unprotected intercourse?</w:t>
      </w:r>
    </w:p>
    <w:p>
      <w:pPr>
        <w:spacing w:after="0" w:before="0"/>
      </w:pPr>
      <w:r>
        <w:rPr>
          <w:b w:val="0"/>
          <w:sz w:val="22"/>
        </w:rPr>
        <w:t>(a) Within 72 hours</w:t>
      </w:r>
    </w:p>
    <w:p>
      <w:pPr>
        <w:spacing w:after="0" w:before="0"/>
      </w:pPr>
      <w:r>
        <w:rPr>
          <w:b w:val="0"/>
          <w:sz w:val="22"/>
        </w:rPr>
        <w:t>(b) After 96 hours</w:t>
      </w:r>
    </w:p>
    <w:p>
      <w:pPr>
        <w:spacing w:after="0" w:before="0"/>
      </w:pPr>
      <w:r>
        <w:rPr>
          <w:b w:val="0"/>
          <w:sz w:val="22"/>
        </w:rPr>
        <w:t>(c) Within 12 hours</w:t>
      </w:r>
    </w:p>
    <w:p>
      <w:pPr>
        <w:spacing w:after="0" w:before="0"/>
      </w:pPr>
      <w:r>
        <w:rPr>
          <w:b w:val="0"/>
          <w:sz w:val="22"/>
        </w:rPr>
        <w:t>(d) Within 36 hours</w:t>
      </w:r>
    </w:p>
    <w:p>
      <w:pPr>
        <w:spacing w:after="0" w:before="40"/>
      </w:pPr>
      <w:r>
        <w:rPr>
          <w:b/>
          <w:sz w:val="22"/>
        </w:rPr>
        <w:t>Answer: a</w:t>
      </w:r>
    </w:p>
    <w:p>
      <w:pPr>
        <w:spacing w:after="0" w:before="0"/>
      </w:pPr>
      <w:r>
        <w:rPr>
          <w:b w:val="0"/>
          <w:sz w:val="21"/>
        </w:rPr>
        <w:t>Solution: Levonorgestrel emergency contraception is most effective when taken as soon as possible, ideally within 72 hours (3 days) of unprotected sexual intercourse.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statement is TRUE regarding Immunoglobulin M (IgM)?</w:t>
      </w:r>
    </w:p>
    <w:p>
      <w:pPr>
        <w:spacing w:after="0" w:before="0"/>
      </w:pPr>
      <w:r>
        <w:rPr>
          <w:b w:val="0"/>
          <w:sz w:val="22"/>
        </w:rPr>
        <w:t>(a) It crosses the placental barrier</w:t>
      </w:r>
    </w:p>
    <w:p>
      <w:pPr>
        <w:spacing w:after="0" w:before="0"/>
      </w:pPr>
      <w:r>
        <w:rPr>
          <w:b w:val="0"/>
          <w:sz w:val="22"/>
        </w:rPr>
        <w:t>(b) It forms the primary/initial antibody response during acute infection</w:t>
      </w:r>
    </w:p>
    <w:p>
      <w:pPr>
        <w:spacing w:after="0" w:before="0"/>
      </w:pPr>
      <w:r>
        <w:rPr>
          <w:b w:val="0"/>
          <w:sz w:val="22"/>
        </w:rPr>
        <w:t>(c) It is the smallest antibody</w:t>
      </w:r>
    </w:p>
    <w:p>
      <w:pPr>
        <w:spacing w:after="0" w:before="0"/>
      </w:pPr>
      <w:r>
        <w:rPr>
          <w:b w:val="0"/>
          <w:sz w:val="22"/>
        </w:rPr>
        <w:t>(d) It is not produced in humans</w:t>
      </w:r>
    </w:p>
    <w:p>
      <w:pPr>
        <w:spacing w:after="0" w:before="40"/>
      </w:pPr>
      <w:r>
        <w:rPr>
          <w:b/>
          <w:sz w:val="22"/>
        </w:rPr>
        <w:t>Answer: b</w:t>
      </w:r>
    </w:p>
    <w:p>
      <w:pPr>
        <w:spacing w:after="0" w:before="0"/>
      </w:pPr>
      <w:r>
        <w:rPr>
          <w:b w:val="0"/>
          <w:sz w:val="21"/>
        </w:rPr>
        <w:t>Solution: IgM is a pentameric antibody produced first during the primary immune response to an infection. It does not cross placenta due to large size.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National Institute of Virology</w:t>
      </w:r>
    </w:p>
    <w:p>
      <w:pPr>
        <w:spacing w:after="0" w:before="0"/>
      </w:pPr>
      <w:r>
        <w:rPr>
          <w:b w:val="0"/>
          <w:sz w:val="22"/>
        </w:rPr>
        <w:t>(b) Serum institute of India</w:t>
      </w:r>
    </w:p>
    <w:p>
      <w:pPr>
        <w:spacing w:after="0" w:before="0"/>
      </w:pPr>
      <w:r>
        <w:rPr>
          <w:b w:val="0"/>
          <w:sz w:val="22"/>
        </w:rPr>
        <w:t>(c) Bharat biotech</w:t>
      </w:r>
    </w:p>
    <w:p>
      <w:pPr>
        <w:spacing w:after="0" w:before="0"/>
      </w:pPr>
      <w:r>
        <w:rPr>
          <w:b w:val="0"/>
          <w:sz w:val="22"/>
        </w:rPr>
        <w:t>(d) AstraZeneca</w:t>
      </w:r>
    </w:p>
    <w:p>
      <w:pPr>
        <w:spacing w:after="0" w:before="40"/>
      </w:pPr>
      <w:r>
        <w:rPr>
          <w:b/>
          <w:sz w:val="22"/>
        </w:rPr>
        <w:t>Answer: c</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Complete the transfusion and discard the bag</w:t>
      </w:r>
    </w:p>
    <w:p>
      <w:pPr>
        <w:spacing w:after="0" w:before="0"/>
      </w:pPr>
      <w:r>
        <w:rPr>
          <w:b w:val="0"/>
          <w:sz w:val="22"/>
        </w:rPr>
        <w:t>(c) Complete the transfusion and administer injection avil</w:t>
      </w:r>
    </w:p>
    <w:p>
      <w:pPr>
        <w:spacing w:after="0" w:before="0"/>
      </w:pPr>
      <w:r>
        <w:rPr>
          <w:b w:val="0"/>
          <w:sz w:val="22"/>
        </w:rPr>
        <w:t>(d) Stop the infusion</w:t>
      </w:r>
    </w:p>
    <w:p>
      <w:pPr>
        <w:spacing w:after="0" w:before="40"/>
      </w:pPr>
      <w:r>
        <w:rPr>
          <w:b/>
          <w:sz w:val="22"/>
        </w:rPr>
        <w:t>Answer: d</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standard color of IV cannula used in pediatric patients (24 Gauge)</w:t>
      </w:r>
    </w:p>
    <w:p>
      <w:pPr>
        <w:spacing w:after="0" w:before="0"/>
      </w:pPr>
      <w:r>
        <w:rPr>
          <w:b w:val="0"/>
          <w:sz w:val="22"/>
        </w:rPr>
        <w:t>(a) Yellow</w:t>
      </w:r>
    </w:p>
    <w:p>
      <w:pPr>
        <w:spacing w:after="0" w:before="0"/>
      </w:pPr>
      <w:r>
        <w:rPr>
          <w:b w:val="0"/>
          <w:sz w:val="22"/>
        </w:rPr>
        <w:t>(b) Green</w:t>
      </w:r>
    </w:p>
    <w:p>
      <w:pPr>
        <w:spacing w:after="0" w:before="0"/>
      </w:pPr>
      <w:r>
        <w:rPr>
          <w:b w:val="0"/>
          <w:sz w:val="22"/>
        </w:rPr>
        <w:t>(c) Orange</w:t>
      </w:r>
    </w:p>
    <w:p>
      <w:pPr>
        <w:spacing w:after="0" w:before="0"/>
      </w:pPr>
      <w:r>
        <w:rPr>
          <w:b w:val="0"/>
          <w:sz w:val="22"/>
        </w:rPr>
        <w:t>(d) Grey</w:t>
      </w:r>
    </w:p>
    <w:p>
      <w:pPr>
        <w:spacing w:after="0" w:before="40"/>
      </w:pPr>
      <w:r>
        <w:rPr>
          <w:b/>
          <w:sz w:val="22"/>
        </w:rPr>
        <w:t>Answer: a</w:t>
      </w:r>
    </w:p>
    <w:p>
      <w:pPr>
        <w:spacing w:after="0" w:before="0"/>
      </w:pPr>
      <w:r>
        <w:rPr>
          <w:b w:val="0"/>
          <w:sz w:val="21"/>
        </w:rPr>
        <w:t>Solution: Yellow IV cannula is 24 Gauge (flow rate ~13 mL/min), specifically recommended for pediatric patients and fragile neonates.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enters the room and finds a client clutching the chest, dyspneic and diaphoretic after an acute myocardial infarction. What should the nurse do FIRST?</w:t>
      </w:r>
    </w:p>
    <w:p>
      <w:pPr>
        <w:spacing w:after="0" w:before="0"/>
      </w:pPr>
      <w:r>
        <w:rPr>
          <w:b w:val="0"/>
          <w:sz w:val="22"/>
        </w:rPr>
        <w:t>(a) Assess the client's airway, breathing and circulation</w:t>
      </w:r>
    </w:p>
    <w:p>
      <w:pPr>
        <w:spacing w:after="0" w:before="0"/>
      </w:pPr>
      <w:r>
        <w:rPr>
          <w:b w:val="0"/>
          <w:sz w:val="22"/>
        </w:rPr>
        <w:t>(b) Notify the health care provider</w:t>
      </w:r>
    </w:p>
    <w:p>
      <w:pPr>
        <w:spacing w:after="0" w:before="0"/>
      </w:pPr>
      <w:r>
        <w:rPr>
          <w:b w:val="0"/>
          <w:sz w:val="22"/>
        </w:rPr>
        <w:t>(c) Administer sublingual nitroglycerin</w:t>
      </w:r>
    </w:p>
    <w:p>
      <w:pPr>
        <w:spacing w:after="0" w:before="0"/>
      </w:pPr>
      <w:r>
        <w:rPr>
          <w:b w:val="0"/>
          <w:sz w:val="22"/>
        </w:rPr>
        <w:t>(d) Obtain a stat 12-lead ECG</w:t>
      </w:r>
    </w:p>
    <w:p>
      <w:pPr>
        <w:spacing w:after="0" w:before="40"/>
      </w:pPr>
      <w:r>
        <w:rPr>
          <w:b/>
          <w:sz w:val="22"/>
        </w:rPr>
        <w:t>Answer: a</w:t>
      </w:r>
    </w:p>
    <w:p>
      <w:pPr>
        <w:spacing w:after="0" w:before="0"/>
      </w:pPr>
      <w:r>
        <w:rPr>
          <w:b w:val="0"/>
          <w:sz w:val="21"/>
        </w:rPr>
        <w:t>Solution: The nurse must always use the ABC (airway, breathing, circulation) priority framework; assessment precedes any intervention, however urgent it appears.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room temperature should be maintained during the period of phototherapy?</w:t>
      </w:r>
    </w:p>
    <w:p>
      <w:pPr>
        <w:spacing w:after="0" w:before="0"/>
      </w:pPr>
      <w:r>
        <w:rPr>
          <w:b w:val="0"/>
          <w:sz w:val="22"/>
        </w:rPr>
        <w:t>(a) 28-30°C</w:t>
      </w:r>
    </w:p>
    <w:p>
      <w:pPr>
        <w:spacing w:after="0" w:before="0"/>
      </w:pPr>
      <w:r>
        <w:rPr>
          <w:b w:val="0"/>
          <w:sz w:val="22"/>
        </w:rPr>
        <w:t>(b) 26-28°C</w:t>
      </w:r>
    </w:p>
    <w:p>
      <w:pPr>
        <w:spacing w:after="0" w:before="0"/>
      </w:pPr>
      <w:r>
        <w:rPr>
          <w:b w:val="0"/>
          <w:sz w:val="22"/>
        </w:rPr>
        <w:t>(c) 30-32°C</w:t>
      </w:r>
    </w:p>
    <w:p>
      <w:pPr>
        <w:spacing w:after="0" w:before="0"/>
      </w:pPr>
      <w:r>
        <w:rPr>
          <w:b w:val="0"/>
          <w:sz w:val="22"/>
        </w:rPr>
        <w:t>(d) 24-26°C</w:t>
      </w:r>
    </w:p>
    <w:p>
      <w:pPr>
        <w:spacing w:after="0" w:before="40"/>
      </w:pPr>
      <w:r>
        <w:rPr>
          <w:b/>
          <w:sz w:val="22"/>
        </w:rPr>
        <w:t>Answer: a</w:t>
      </w:r>
    </w:p>
    <w:p>
      <w:pPr>
        <w:spacing w:after="0" w:before="0"/>
      </w:pPr>
      <w:r>
        <w:rPr>
          <w:b w:val="0"/>
          <w:sz w:val="21"/>
        </w:rPr>
        <w:t>Solution: A room temperature of 28-30°C is maintained during phototherapy to prevent hypothermia in the neonate.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type of fever in which after every 24 hours the body temperature comes to normal level is known as?</w:t>
      </w:r>
    </w:p>
    <w:p>
      <w:pPr>
        <w:spacing w:after="0" w:before="0"/>
      </w:pPr>
      <w:r>
        <w:rPr>
          <w:b w:val="0"/>
          <w:sz w:val="22"/>
        </w:rPr>
        <w:t>(a) Relapsing fever</w:t>
      </w:r>
    </w:p>
    <w:p>
      <w:pPr>
        <w:spacing w:after="0" w:before="0"/>
      </w:pPr>
      <w:r>
        <w:rPr>
          <w:b w:val="0"/>
          <w:sz w:val="22"/>
        </w:rPr>
        <w:t>(b) Intermittent fever</w:t>
      </w:r>
    </w:p>
    <w:p>
      <w:pPr>
        <w:spacing w:after="0" w:before="0"/>
      </w:pPr>
      <w:r>
        <w:rPr>
          <w:b w:val="0"/>
          <w:sz w:val="22"/>
        </w:rPr>
        <w:t>(c) Remittent fever</w:t>
      </w:r>
    </w:p>
    <w:p>
      <w:pPr>
        <w:spacing w:after="0" w:before="0"/>
      </w:pPr>
      <w:r>
        <w:rPr>
          <w:b w:val="0"/>
          <w:sz w:val="22"/>
        </w:rPr>
        <w:t>(d) Continued fever</w:t>
      </w:r>
    </w:p>
    <w:p>
      <w:pPr>
        <w:spacing w:after="0" w:before="40"/>
      </w:pPr>
      <w:r>
        <w:rPr>
          <w:b/>
          <w:sz w:val="22"/>
        </w:rPr>
        <w:t>Answer: b</w:t>
      </w:r>
    </w:p>
    <w:p>
      <w:pPr>
        <w:spacing w:after="0" w:before="0"/>
      </w:pPr>
      <w:r>
        <w:rPr>
          <w:b w:val="0"/>
          <w:sz w:val="21"/>
        </w:rPr>
        <w:t>Solution: In intermittent fever the temperature returns to normal once in every 24 hours between febrile peaks.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Sambhaji Nagar</w:t>
      </w:r>
    </w:p>
    <w:p>
      <w:pPr>
        <w:spacing w:after="0" w:before="0"/>
      </w:pPr>
      <w:r>
        <w:rPr>
          <w:b w:val="0"/>
          <w:sz w:val="22"/>
        </w:rPr>
        <w:t>(b) Mumbai</w:t>
      </w:r>
    </w:p>
    <w:p>
      <w:pPr>
        <w:spacing w:after="0" w:before="0"/>
      </w:pPr>
      <w:r>
        <w:rPr>
          <w:b w:val="0"/>
          <w:sz w:val="22"/>
        </w:rPr>
        <w:t>(c) Osmanabad</w:t>
      </w:r>
    </w:p>
    <w:p>
      <w:pPr>
        <w:spacing w:after="0" w:before="0"/>
      </w:pPr>
      <w:r>
        <w:rPr>
          <w:b w:val="0"/>
          <w:sz w:val="22"/>
        </w:rPr>
        <w:t>(d) Dharashiv</w:t>
      </w:r>
    </w:p>
    <w:p>
      <w:pPr>
        <w:spacing w:after="0" w:before="40"/>
      </w:pPr>
      <w:r>
        <w:rPr>
          <w:b/>
          <w:sz w:val="22"/>
        </w:rPr>
        <w:t>Answer: a</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method to assess the pulse in a newborn?</w:t>
      </w:r>
    </w:p>
    <w:p>
      <w:pPr>
        <w:spacing w:after="0" w:before="0"/>
      </w:pPr>
      <w:r>
        <w:rPr>
          <w:b w:val="0"/>
          <w:sz w:val="22"/>
        </w:rPr>
        <w:t>(a) Assessing the radial pulse for 15 sec then multiply by 4</w:t>
      </w:r>
    </w:p>
    <w:p>
      <w:pPr>
        <w:spacing w:after="0" w:before="0"/>
      </w:pPr>
      <w:r>
        <w:rPr>
          <w:b w:val="0"/>
          <w:sz w:val="22"/>
        </w:rPr>
        <w:t>(b) Assessing the brachial pulse for full 1 minute</w:t>
      </w:r>
    </w:p>
    <w:p>
      <w:pPr>
        <w:spacing w:after="0" w:before="0"/>
      </w:pPr>
      <w:r>
        <w:rPr>
          <w:b w:val="0"/>
          <w:sz w:val="22"/>
        </w:rPr>
        <w:t>(c) Assessing radial pulse for full 1 minute by stethoscope</w:t>
      </w:r>
    </w:p>
    <w:p>
      <w:pPr>
        <w:spacing w:after="0" w:before="0"/>
      </w:pPr>
      <w:r>
        <w:rPr>
          <w:b w:val="0"/>
          <w:sz w:val="22"/>
        </w:rPr>
        <w:t>(d) Assessing the apical pulse for full 1 minute by stethoscope</w:t>
      </w:r>
    </w:p>
    <w:p>
      <w:pPr>
        <w:spacing w:after="0" w:before="40"/>
      </w:pPr>
      <w:r>
        <w:rPr>
          <w:b/>
          <w:sz w:val="22"/>
        </w:rPr>
        <w:t>Answer: a</w:t>
      </w:r>
    </w:p>
    <w:p>
      <w:pPr>
        <w:spacing w:after="0" w:before="0"/>
      </w:pPr>
      <w:r>
        <w:rPr>
          <w:b w:val="0"/>
          <w:sz w:val="21"/>
        </w:rPr>
        <w:t>Solution: The most appropriate method to assess the pulse in a newborn is by assessing the apical pulse for a full 1 minute using a stethoscope. This method is preferred over the use of peripheral pulses like brachial or radial pulses. Newborns have a faster heart rate than adults and their peripheral pulses can be difficult to palpate accurately due to their small size and movements. Therefore, auscultating the apical pulse with a stethoscope for a full minute provides a more accurate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diameter represents the smallest diameter of the true pelvis?</w:t>
      </w:r>
    </w:p>
    <w:p>
      <w:pPr>
        <w:spacing w:after="0" w:before="0"/>
      </w:pPr>
      <w:r>
        <w:rPr>
          <w:b w:val="0"/>
          <w:sz w:val="22"/>
        </w:rPr>
        <w:t>(a) Diagonal conjugate</w:t>
      </w:r>
    </w:p>
    <w:p>
      <w:pPr>
        <w:spacing w:after="0" w:before="0"/>
      </w:pPr>
      <w:r>
        <w:rPr>
          <w:b w:val="0"/>
          <w:sz w:val="22"/>
        </w:rPr>
        <w:t>(b) True conjugate</w:t>
      </w:r>
    </w:p>
    <w:p>
      <w:pPr>
        <w:spacing w:after="0" w:before="0"/>
      </w:pPr>
      <w:r>
        <w:rPr>
          <w:b w:val="0"/>
          <w:sz w:val="22"/>
        </w:rPr>
        <w:t>(c) Interspinous diameter</w:t>
      </w:r>
    </w:p>
    <w:p>
      <w:pPr>
        <w:spacing w:after="0" w:before="0"/>
      </w:pPr>
      <w:r>
        <w:rPr>
          <w:b w:val="0"/>
          <w:sz w:val="22"/>
        </w:rPr>
        <w:t>(d) Intertuberous diameter</w:t>
      </w:r>
    </w:p>
    <w:p>
      <w:pPr>
        <w:spacing w:after="0" w:before="40"/>
      </w:pPr>
      <w:r>
        <w:rPr>
          <w:b/>
          <w:sz w:val="22"/>
        </w:rPr>
        <w:t>Answer: c</w:t>
      </w:r>
    </w:p>
    <w:p>
      <w:pPr>
        <w:spacing w:after="0" w:before="0"/>
      </w:pPr>
      <w:r>
        <w:rPr>
          <w:b w:val="0"/>
          <w:sz w:val="21"/>
        </w:rPr>
        <w:t>Solution: The interspinous diameter represents the smallest diameter of the true pelvis (option a). The true pelvis is the lower portion of the pelvis that is involved in childbirth. It is divided into various diameters that are important for assessing the passage of the fetal head during labor. The interspinous diameter is measured between the two ischial spines, which represent the narrowest diameter of the true pelvis. Assessing the adequacy of the pelvic diameters is crucial in determining whether vaginal delivery is feasible or if other interventions, such as cesarean section, may be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standard size (gauge) of green color IV cannula</w:t>
      </w:r>
    </w:p>
    <w:p>
      <w:pPr>
        <w:spacing w:after="0" w:before="0"/>
      </w:pPr>
      <w:r>
        <w:rPr>
          <w:b w:val="0"/>
          <w:sz w:val="22"/>
        </w:rPr>
        <w:t>(a) 16 G</w:t>
      </w:r>
    </w:p>
    <w:p>
      <w:pPr>
        <w:spacing w:after="0" w:before="0"/>
      </w:pPr>
      <w:r>
        <w:rPr>
          <w:b w:val="0"/>
          <w:sz w:val="22"/>
        </w:rPr>
        <w:t>(b) 14 G</w:t>
      </w:r>
    </w:p>
    <w:p>
      <w:pPr>
        <w:spacing w:after="0" w:before="0"/>
      </w:pPr>
      <w:r>
        <w:rPr>
          <w:b w:val="0"/>
          <w:sz w:val="22"/>
        </w:rPr>
        <w:t>(c) 20 G</w:t>
      </w:r>
    </w:p>
    <w:p>
      <w:pPr>
        <w:spacing w:after="0" w:before="0"/>
      </w:pPr>
      <w:r>
        <w:rPr>
          <w:b w:val="0"/>
          <w:sz w:val="22"/>
        </w:rPr>
        <w:t>(d) 18 G</w:t>
      </w:r>
    </w:p>
    <w:p>
      <w:pPr>
        <w:spacing w:after="0" w:before="40"/>
      </w:pPr>
      <w:r>
        <w:rPr>
          <w:b/>
          <w:sz w:val="22"/>
        </w:rPr>
        <w:t>Answer: d</w:t>
      </w:r>
    </w:p>
    <w:p>
      <w:pPr>
        <w:spacing w:after="0" w:before="0"/>
      </w:pPr>
      <w:r>
        <w:rPr>
          <w:b w:val="0"/>
          <w:sz w:val="21"/>
        </w:rPr>
        <w:t>Solution: 18 Gauge IV cannula is color-coded Green and is used for rapid blood transfusions, trauma, and major surgical procedures.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fall precautions insists on getting out of bed to use the bathroom. What is the priority nursing action?</w:t>
      </w:r>
    </w:p>
    <w:p>
      <w:pPr>
        <w:spacing w:after="0" w:before="0"/>
      </w:pPr>
      <w:r>
        <w:rPr>
          <w:b w:val="0"/>
          <w:sz w:val="22"/>
        </w:rPr>
        <w:t>(a) Apply a vest restraint</w:t>
      </w:r>
    </w:p>
    <w:p>
      <w:pPr>
        <w:spacing w:after="0" w:before="0"/>
      </w:pPr>
      <w:r>
        <w:rPr>
          <w:b w:val="0"/>
          <w:sz w:val="22"/>
        </w:rPr>
        <w:t>(b) Assist the client to the bathroom immediately</w:t>
      </w:r>
    </w:p>
    <w:p>
      <w:pPr>
        <w:spacing w:after="0" w:before="0"/>
      </w:pPr>
      <w:r>
        <w:rPr>
          <w:b w:val="0"/>
          <w:sz w:val="22"/>
        </w:rPr>
        <w:t>(c) Tell the client to use the call bell when ready</w:t>
      </w:r>
    </w:p>
    <w:p>
      <w:pPr>
        <w:spacing w:after="0" w:before="0"/>
      </w:pPr>
      <w:r>
        <w:rPr>
          <w:b w:val="0"/>
          <w:sz w:val="22"/>
        </w:rPr>
        <w:t>(d) Place the bed in the lowest position and leave</w:t>
      </w:r>
    </w:p>
    <w:p>
      <w:pPr>
        <w:spacing w:after="0" w:before="40"/>
      </w:pPr>
      <w:r>
        <w:rPr>
          <w:b/>
          <w:sz w:val="22"/>
        </w:rPr>
        <w:t>Answer: b</w:t>
      </w:r>
    </w:p>
    <w:p>
      <w:pPr>
        <w:spacing w:after="0" w:before="0"/>
      </w:pPr>
      <w:r>
        <w:rPr>
          <w:b w:val="0"/>
          <w:sz w:val="21"/>
        </w:rPr>
        <w:t>Solution: The priority is to respond to the client's need safely; assisting the client to the bathroom prevents the high-risk unsupervised transfer that causes most falls.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