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put a dressing over the wound</w:t>
      </w:r>
    </w:p>
    <w:p>
      <w:pPr>
        <w:spacing w:after="0" w:before="0"/>
      </w:pPr>
      <w:r>
        <w:rPr>
          <w:b w:val="0"/>
          <w:sz w:val="22"/>
        </w:rPr>
        <w:t>(c) cover it with a pad of soft material</w:t>
      </w:r>
    </w:p>
    <w:p>
      <w:pPr>
        <w:spacing w:after="0" w:before="0"/>
      </w:pPr>
      <w:r>
        <w:rPr>
          <w:b w:val="0"/>
          <w:sz w:val="22"/>
        </w:rPr>
        <w:t>(d) call for medical assistance</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COPD patient given O2 by venturi mask then nursing priority action ?</w:t>
      </w:r>
    </w:p>
    <w:p>
      <w:pPr>
        <w:spacing w:after="0" w:before="0"/>
      </w:pPr>
      <w:r>
        <w:rPr>
          <w:b w:val="0"/>
          <w:sz w:val="22"/>
        </w:rPr>
        <w:t>(a) Cheque altertness</w:t>
      </w:r>
    </w:p>
    <w:p>
      <w:pPr>
        <w:spacing w:after="0" w:before="0"/>
      </w:pPr>
      <w:r>
        <w:rPr>
          <w:b w:val="0"/>
          <w:sz w:val="22"/>
        </w:rPr>
        <w:t>(b) Assess the dryness of nose</w:t>
      </w:r>
    </w:p>
    <w:p>
      <w:pPr>
        <w:spacing w:after="0" w:before="0"/>
      </w:pPr>
      <w:r>
        <w:rPr>
          <w:b w:val="0"/>
          <w:sz w:val="22"/>
        </w:rPr>
        <w:t>(c) Provide supine position</w:t>
      </w:r>
    </w:p>
    <w:p>
      <w:pPr>
        <w:spacing w:after="0" w:before="0"/>
      </w:pPr>
      <w:r>
        <w:rPr>
          <w:b w:val="0"/>
          <w:sz w:val="22"/>
        </w:rPr>
        <w:t>(d) Provide hot liquid</w:t>
      </w:r>
    </w:p>
    <w:p>
      <w:pPr>
        <w:spacing w:after="0" w:before="40"/>
      </w:pPr>
      <w:r>
        <w:rPr>
          <w:b/>
          <w:sz w:val="22"/>
        </w:rPr>
        <w:t>Answer: b</w:t>
      </w:r>
    </w:p>
    <w:p>
      <w:pPr>
        <w:spacing w:after="0" w:before="0"/>
      </w:pPr>
      <w:r>
        <w:rPr>
          <w:b w:val="0"/>
          <w:sz w:val="21"/>
        </w:rPr>
        <w:t>Solution: In a COPD patient on a venturi mask, the nurse assesses dryness of the nasal mucosa as oxygen therapy can dry the airway; humidification is maintained.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EARLIEST sign of respiratory distress in an infant?</w:t>
      </w:r>
    </w:p>
    <w:p>
      <w:pPr>
        <w:spacing w:after="0" w:before="0"/>
      </w:pPr>
      <w:r>
        <w:rPr>
          <w:b w:val="0"/>
          <w:sz w:val="22"/>
        </w:rPr>
        <w:t>(a) Nasal flaring</w:t>
      </w:r>
    </w:p>
    <w:p>
      <w:pPr>
        <w:spacing w:after="0" w:before="0"/>
      </w:pPr>
      <w:r>
        <w:rPr>
          <w:b w:val="0"/>
          <w:sz w:val="22"/>
        </w:rPr>
        <w:t>(b) Gasping respirations</w:t>
      </w:r>
    </w:p>
    <w:p>
      <w:pPr>
        <w:spacing w:after="0" w:before="0"/>
      </w:pPr>
      <w:r>
        <w:rPr>
          <w:b w:val="0"/>
          <w:sz w:val="22"/>
        </w:rPr>
        <w:t>(c) Cyanosis</w:t>
      </w:r>
    </w:p>
    <w:p>
      <w:pPr>
        <w:spacing w:after="0" w:before="0"/>
      </w:pPr>
      <w:r>
        <w:rPr>
          <w:b w:val="0"/>
          <w:sz w:val="22"/>
        </w:rPr>
        <w:t>(d) Bradycardia</w:t>
      </w:r>
    </w:p>
    <w:p>
      <w:pPr>
        <w:spacing w:after="0" w:before="40"/>
      </w:pPr>
      <w:r>
        <w:rPr>
          <w:b/>
          <w:sz w:val="22"/>
        </w:rPr>
        <w:t>Answer: a</w:t>
      </w:r>
    </w:p>
    <w:p>
      <w:pPr>
        <w:spacing w:after="0" w:before="0"/>
      </w:pPr>
      <w:r>
        <w:rPr>
          <w:b w:val="0"/>
          <w:sz w:val="21"/>
        </w:rPr>
        <w:t>Solution: Nasal flaring, grunting, retractions and tachypnea appear early; cyanosis and bradycardia are late, pre-arrest signs.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symptom of Hyponatremia is:</w:t>
      </w:r>
    </w:p>
    <w:p>
      <w:pPr>
        <w:spacing w:after="0" w:before="0"/>
      </w:pPr>
      <w:r>
        <w:rPr>
          <w:b w:val="0"/>
          <w:sz w:val="22"/>
        </w:rPr>
        <w:t>(a) Thirst</w:t>
      </w:r>
    </w:p>
    <w:p>
      <w:pPr>
        <w:spacing w:after="0" w:before="0"/>
      </w:pPr>
      <w:r>
        <w:rPr>
          <w:b w:val="0"/>
          <w:sz w:val="22"/>
        </w:rPr>
        <w:t>(b) Fatigue</w:t>
      </w:r>
    </w:p>
    <w:p>
      <w:pPr>
        <w:spacing w:after="0" w:before="0"/>
      </w:pPr>
      <w:r>
        <w:rPr>
          <w:b w:val="0"/>
          <w:sz w:val="22"/>
        </w:rPr>
        <w:t>(c) Weakness</w:t>
      </w:r>
    </w:p>
    <w:p>
      <w:pPr>
        <w:spacing w:after="0" w:before="0"/>
      </w:pPr>
      <w:r>
        <w:rPr>
          <w:b w:val="0"/>
          <w:sz w:val="22"/>
        </w:rPr>
        <w:t>(d) Ataxia</w:t>
      </w:r>
    </w:p>
    <w:p>
      <w:pPr>
        <w:spacing w:after="0" w:before="40"/>
      </w:pPr>
      <w:r>
        <w:rPr>
          <w:b/>
          <w:sz w:val="22"/>
        </w:rPr>
        <w:t>Answer: b</w:t>
      </w:r>
    </w:p>
    <w:p>
      <w:pPr>
        <w:spacing w:after="0" w:before="0"/>
      </w:pPr>
      <w:r>
        <w:rPr>
          <w:b w:val="0"/>
          <w:sz w:val="21"/>
        </w:rPr>
        <w:t>Solution: Fatigue is the earliest symptom of hyponatremia (mild sodium depletion).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aspect of mental functioning is being assessed when a nursing officer asks a patient to explain the difference between an apple and an orange during a mental status examination (MSE)?</w:t>
      </w:r>
    </w:p>
    <w:p>
      <w:pPr>
        <w:spacing w:after="0" w:before="0"/>
      </w:pPr>
      <w:r>
        <w:rPr>
          <w:b w:val="0"/>
          <w:sz w:val="22"/>
        </w:rPr>
        <w:t>(a) Abstraction</w:t>
      </w:r>
    </w:p>
    <w:p>
      <w:pPr>
        <w:spacing w:after="0" w:before="0"/>
      </w:pPr>
      <w:r>
        <w:rPr>
          <w:b w:val="0"/>
          <w:sz w:val="22"/>
        </w:rPr>
        <w:t>(b) Comprehension</w:t>
      </w:r>
    </w:p>
    <w:p>
      <w:pPr>
        <w:spacing w:after="0" w:before="0"/>
      </w:pPr>
      <w:r>
        <w:rPr>
          <w:b w:val="0"/>
          <w:sz w:val="22"/>
        </w:rPr>
        <w:t>(c) Ambivalence</w:t>
      </w:r>
    </w:p>
    <w:p>
      <w:pPr>
        <w:spacing w:after="0" w:before="0"/>
      </w:pPr>
      <w:r>
        <w:rPr>
          <w:b w:val="0"/>
          <w:sz w:val="22"/>
        </w:rPr>
        <w:t>(d) Intelligence</w:t>
      </w:r>
    </w:p>
    <w:p>
      <w:pPr>
        <w:spacing w:after="0" w:before="40"/>
      </w:pPr>
      <w:r>
        <w:rPr>
          <w:b/>
          <w:sz w:val="22"/>
        </w:rPr>
        <w:t>Answer: a</w:t>
      </w:r>
    </w:p>
    <w:p>
      <w:pPr>
        <w:spacing w:after="0" w:before="0"/>
      </w:pPr>
      <w:r>
        <w:rPr>
          <w:b w:val="0"/>
          <w:sz w:val="21"/>
        </w:rPr>
        <w:t>Solution: When a nursing officer asks a patient to explain the difference between an apple and an orange during a mental status examination (MSE), the aspect of mental functioning being assessed is abstraction. Abstraction is the Ms E ( Psychiatry I cognitive ability to grasp concepts, think symbolically, and understand relationships between different objects or ideas. By asking the patient to compare and differentiate between two objects, the nursing officer can evaluate the patient's capacity for abstract thinking, which is an important aspect of mental functioning. Impairments in abstraction can be indicative of cognitive deficits or certain psychiatric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1 ml × %BSA × body weight (kg)</w:t>
      </w:r>
    </w:p>
    <w:p>
      <w:pPr>
        <w:spacing w:after="0" w:before="0"/>
      </w:pPr>
      <w:r>
        <w:rPr>
          <w:b w:val="0"/>
          <w:sz w:val="22"/>
        </w:rPr>
        <w:t>(c) 2 ml × %BSA × body weight (kg)</w:t>
      </w:r>
    </w:p>
    <w:p>
      <w:pPr>
        <w:spacing w:after="0" w:before="0"/>
      </w:pPr>
      <w:r>
        <w:rPr>
          <w:b w:val="0"/>
          <w:sz w:val="22"/>
        </w:rPr>
        <w:t>(d) 3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Name of the scale for measuring symptoms severity of patients with schizophrenia?</w:t>
      </w:r>
    </w:p>
    <w:p>
      <w:pPr>
        <w:spacing w:after="0" w:before="0"/>
      </w:pPr>
      <w:r>
        <w:rPr>
          <w:b w:val="0"/>
          <w:sz w:val="22"/>
        </w:rPr>
        <w:t>(a) NRS</w:t>
      </w:r>
    </w:p>
    <w:p>
      <w:pPr>
        <w:spacing w:after="0" w:before="0"/>
      </w:pPr>
      <w:r>
        <w:rPr>
          <w:b w:val="0"/>
          <w:sz w:val="22"/>
        </w:rPr>
        <w:t>(b) PANSS</w:t>
      </w:r>
    </w:p>
    <w:p>
      <w:pPr>
        <w:spacing w:after="0" w:before="0"/>
      </w:pPr>
      <w:r>
        <w:rPr>
          <w:b w:val="0"/>
          <w:sz w:val="22"/>
        </w:rPr>
        <w:t>(c) VAS</w:t>
      </w:r>
    </w:p>
    <w:p>
      <w:pPr>
        <w:spacing w:after="0" w:before="0"/>
      </w:pPr>
      <w:r>
        <w:rPr>
          <w:b w:val="0"/>
          <w:sz w:val="22"/>
        </w:rPr>
        <w:t>(d) FLACC</w:t>
      </w:r>
    </w:p>
    <w:p>
      <w:pPr>
        <w:spacing w:after="0" w:before="40"/>
      </w:pPr>
      <w:r>
        <w:rPr>
          <w:b/>
          <w:sz w:val="22"/>
        </w:rPr>
        <w:t>Answer: b</w:t>
      </w:r>
    </w:p>
    <w:p>
      <w:pPr>
        <w:spacing w:after="0" w:before="0"/>
      </w:pPr>
      <w:r>
        <w:rPr>
          <w:b w:val="0"/>
          <w:sz w:val="21"/>
        </w:rPr>
        <w:t>Solution: The Positive and Negative Syndrome Scale (PANSS) is used to measure symptom severity in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intervention for a patient who experiences breathing difficulties during a blood transfusion?</w:t>
      </w:r>
    </w:p>
    <w:p>
      <w:pPr>
        <w:spacing w:after="0" w:before="0"/>
      </w:pPr>
      <w:r>
        <w:rPr>
          <w:b w:val="0"/>
          <w:sz w:val="22"/>
        </w:rPr>
        <w:t>(a) Stop the infusion and Inform to the doctor</w:t>
      </w:r>
    </w:p>
    <w:p>
      <w:pPr>
        <w:spacing w:after="0" w:before="0"/>
      </w:pPr>
      <w:r>
        <w:rPr>
          <w:b w:val="0"/>
          <w:sz w:val="22"/>
        </w:rPr>
        <w:t>(b) Continue blood transfusion and give adrenaline</w:t>
      </w:r>
    </w:p>
    <w:p>
      <w:pPr>
        <w:spacing w:after="0" w:before="0"/>
      </w:pPr>
      <w:r>
        <w:rPr>
          <w:b w:val="0"/>
          <w:sz w:val="22"/>
        </w:rPr>
        <w:t>(c) Continue blood transfusion and give DOC calcium</w:t>
      </w:r>
    </w:p>
    <w:p>
      <w:pPr>
        <w:spacing w:after="0" w:before="0"/>
      </w:pPr>
      <w:r>
        <w:rPr>
          <w:b w:val="0"/>
          <w:sz w:val="22"/>
        </w:rPr>
        <w:t>(d) Stop blood transfusion and administer hydrocortisone</w:t>
      </w:r>
    </w:p>
    <w:p>
      <w:pPr>
        <w:spacing w:after="0" w:before="40"/>
      </w:pPr>
      <w:r>
        <w:rPr>
          <w:b/>
          <w:sz w:val="22"/>
        </w:rPr>
        <w:t>Answer: a</w:t>
      </w:r>
    </w:p>
    <w:p>
      <w:pPr>
        <w:spacing w:after="0" w:before="0"/>
      </w:pPr>
      <w:r>
        <w:rPr>
          <w:b w:val="0"/>
          <w:sz w:val="21"/>
        </w:rPr>
        <w:t>Solution: The priority nursing intervention for a patient with breathing difficulties during a blood transfusion is to stop the infusion immediately and inform the physician. This may indicate a transfusion reaction, such as transfusion-associated circulatory overload (TACO) or transfusion-related acute lung injury (TRALI), which requires prompt medical attention. Nurses should also closely monitor the patient's vital signs, maintain a patent airway, and administer supplemental oxygen as necessary.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additional calorie requirement during pregnancy?</w:t>
      </w:r>
    </w:p>
    <w:p>
      <w:pPr>
        <w:spacing w:after="0" w:before="0"/>
      </w:pPr>
      <w:r>
        <w:rPr>
          <w:b w:val="0"/>
          <w:sz w:val="22"/>
        </w:rPr>
        <w:t>(a) 300</w:t>
      </w:r>
    </w:p>
    <w:p>
      <w:pPr>
        <w:spacing w:after="0" w:before="0"/>
      </w:pPr>
      <w:r>
        <w:rPr>
          <w:b w:val="0"/>
          <w:sz w:val="22"/>
        </w:rPr>
        <w:t>(b) 1000</w:t>
      </w:r>
    </w:p>
    <w:p>
      <w:pPr>
        <w:spacing w:after="0" w:before="0"/>
      </w:pPr>
      <w:r>
        <w:rPr>
          <w:b w:val="0"/>
          <w:sz w:val="22"/>
        </w:rPr>
        <w:t>(c) 500</w:t>
      </w:r>
    </w:p>
    <w:p>
      <w:pPr>
        <w:spacing w:after="0" w:before="0"/>
      </w:pPr>
      <w:r>
        <w:rPr>
          <w:b w:val="0"/>
          <w:sz w:val="22"/>
        </w:rPr>
        <w:t>(d) 250</w:t>
      </w:r>
    </w:p>
    <w:p>
      <w:pPr>
        <w:spacing w:after="0" w:before="40"/>
      </w:pPr>
      <w:r>
        <w:rPr>
          <w:b/>
          <w:sz w:val="22"/>
        </w:rPr>
        <w:t>Answer: a</w:t>
      </w:r>
    </w:p>
    <w:p>
      <w:pPr>
        <w:spacing w:after="0" w:before="0"/>
      </w:pPr>
      <w:r>
        <w:rPr>
          <w:b w:val="0"/>
          <w:sz w:val="21"/>
        </w:rPr>
        <w:t>Solution: During pregnancy, there is an additional calorie requirement to support the growth and development of the fetus. The recommended additional calorie requirement is approximately 300 calories (option a). However, it's important to note that individual calorie needs may vary based on factors such as pre-pregnancy weight, activity level, and overall health. Adequate calorie intake during pregnancy is crucial to provide the necessary energy for the mother and support the nutritional needs of the developing baby. Healthcare providers often provide guidance on appropriate calorie intake and balanced nutrition to ensure a healthy pregnancy.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Weakness</w:t>
      </w:r>
    </w:p>
    <w:p>
      <w:pPr>
        <w:spacing w:after="0" w:before="0"/>
      </w:pPr>
      <w:r>
        <w:rPr>
          <w:b w:val="0"/>
          <w:sz w:val="22"/>
        </w:rPr>
        <w:t>(b) Negative Chvostek's sign</w:t>
      </w:r>
    </w:p>
    <w:p>
      <w:pPr>
        <w:spacing w:after="0" w:before="0"/>
      </w:pPr>
      <w:r>
        <w:rPr>
          <w:b w:val="0"/>
          <w:sz w:val="22"/>
        </w:rPr>
        <w:t>(c) Twitching</w:t>
      </w:r>
    </w:p>
    <w:p>
      <w:pPr>
        <w:spacing w:after="0" w:before="0"/>
      </w:pPr>
      <w:r>
        <w:rPr>
          <w:b w:val="0"/>
          <w:sz w:val="22"/>
        </w:rPr>
        <w:t>(d) Exaggerated DTRs</w:t>
      </w:r>
    </w:p>
    <w:p>
      <w:pPr>
        <w:spacing w:after="0" w:before="40"/>
      </w:pPr>
      <w:r>
        <w:rPr>
          <w:b/>
          <w:sz w:val="22"/>
        </w:rPr>
        <w:t>Answer: c</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Caudal regression syndrome primarily affects which body system?</w:t>
      </w:r>
    </w:p>
    <w:p>
      <w:pPr>
        <w:spacing w:after="0" w:before="0"/>
      </w:pPr>
      <w:r>
        <w:rPr>
          <w:b w:val="0"/>
          <w:sz w:val="22"/>
        </w:rPr>
        <w:t>(a) Musculoskeletal system</w:t>
      </w:r>
    </w:p>
    <w:p>
      <w:pPr>
        <w:spacing w:after="0" w:before="0"/>
      </w:pPr>
      <w:r>
        <w:rPr>
          <w:b w:val="0"/>
          <w:sz w:val="22"/>
        </w:rPr>
        <w:t>(b) Integumentry system</w:t>
      </w:r>
    </w:p>
    <w:p>
      <w:pPr>
        <w:spacing w:after="0" w:before="0"/>
      </w:pPr>
      <w:r>
        <w:rPr>
          <w:b w:val="0"/>
          <w:sz w:val="22"/>
        </w:rPr>
        <w:t>(c) Nervous system</w:t>
      </w:r>
    </w:p>
    <w:p>
      <w:pPr>
        <w:spacing w:after="0" w:before="0"/>
      </w:pPr>
      <w:r>
        <w:rPr>
          <w:b w:val="0"/>
          <w:sz w:val="22"/>
        </w:rPr>
        <w:t>(d) Cardiovascular system</w:t>
      </w:r>
    </w:p>
    <w:p>
      <w:pPr>
        <w:spacing w:after="0" w:before="40"/>
      </w:pPr>
      <w:r>
        <w:rPr>
          <w:b/>
          <w:sz w:val="22"/>
        </w:rPr>
        <w:t>Answer: a</w:t>
      </w:r>
    </w:p>
    <w:p>
      <w:pPr>
        <w:spacing w:after="0" w:before="0"/>
      </w:pPr>
      <w:r>
        <w:rPr>
          <w:b w:val="0"/>
          <w:sz w:val="21"/>
        </w:rPr>
        <w:t>Solution: Caudal regression syndrome primarily affects the musculoskeletal system (option D). Caudal regression syndrome is a rare congenital disorder that involves abnormal development of the lower spine and other structures in the lower body. It is characterized by the absence or underdevelopment of the tailbone (coccyx) and varying degrees of malformation in the lower spine, pelvis, and lower extremities. The nervous system (option A) can also be affected, leading to neurological deficits, but the primary impact is on the musculoskeletal system. The cardiovascular system (option B) and integumentary system (option C) may be indirectly influenced by the skeletal and neural abnormalities.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comes to the emergency department with frequent loose motions for one day, normal vital signs and no dehydration (skin pinch returns within 2 seconds). What is the priority nursing action?</w:t>
      </w:r>
    </w:p>
    <w:p>
      <w:pPr>
        <w:spacing w:after="0" w:before="0"/>
      </w:pPr>
      <w:r>
        <w:rPr>
          <w:b w:val="0"/>
          <w:sz w:val="22"/>
        </w:rPr>
        <w:t>(a) Admit to the ICU</w:t>
      </w:r>
    </w:p>
    <w:p>
      <w:pPr>
        <w:spacing w:after="0" w:before="0"/>
      </w:pPr>
      <w:r>
        <w:rPr>
          <w:b w:val="0"/>
          <w:sz w:val="22"/>
        </w:rPr>
        <w:t>(b) ORS and zinc supplementation</w:t>
      </w:r>
    </w:p>
    <w:p>
      <w:pPr>
        <w:spacing w:after="0" w:before="0"/>
      </w:pPr>
      <w:r>
        <w:rPr>
          <w:b w:val="0"/>
          <w:sz w:val="22"/>
        </w:rPr>
        <w:t>(c) IV fluids</w:t>
      </w:r>
    </w:p>
    <w:p>
      <w:pPr>
        <w:spacing w:after="0" w:before="0"/>
      </w:pPr>
      <w:r>
        <w:rPr>
          <w:b w:val="0"/>
          <w:sz w:val="22"/>
        </w:rPr>
        <w:t>(d) Reassure the parents that no treatment is needed</w:t>
      </w:r>
    </w:p>
    <w:p>
      <w:pPr>
        <w:spacing w:after="0" w:before="40"/>
      </w:pPr>
      <w:r>
        <w:rPr>
          <w:b/>
          <w:sz w:val="22"/>
        </w:rPr>
        <w:t>Answer: b</w:t>
      </w:r>
    </w:p>
    <w:p>
      <w:pPr>
        <w:spacing w:after="0" w:before="0"/>
      </w:pPr>
      <w:r>
        <w:rPr>
          <w:b w:val="0"/>
          <w:sz w:val="21"/>
        </w:rPr>
        <w:t>Solution: For acute watery diarrhoea without dehydration, ORS and zinc supplementation are given to prevent dehydration; IV fluids and admission are needed only if dehydration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Killed vaccine</w:t>
      </w:r>
    </w:p>
    <w:p>
      <w:pPr>
        <w:spacing w:after="0" w:before="0"/>
      </w:pPr>
      <w:r>
        <w:rPr>
          <w:b w:val="0"/>
          <w:sz w:val="22"/>
        </w:rPr>
        <w:t>(b) Serums</w:t>
      </w:r>
    </w:p>
    <w:p>
      <w:pPr>
        <w:spacing w:after="0" w:before="0"/>
      </w:pPr>
      <w:r>
        <w:rPr>
          <w:b w:val="0"/>
          <w:sz w:val="22"/>
        </w:rPr>
        <w:t>(c) Live vaccine</w:t>
      </w:r>
    </w:p>
    <w:p>
      <w:pPr>
        <w:spacing w:after="0" w:before="0"/>
      </w:pPr>
      <w:r>
        <w:rPr>
          <w:b w:val="0"/>
          <w:sz w:val="22"/>
        </w:rPr>
        <w:t>(d) Toxoids</w:t>
      </w:r>
    </w:p>
    <w:p>
      <w:pPr>
        <w:spacing w:after="0" w:before="40"/>
      </w:pPr>
      <w:r>
        <w:rPr>
          <w:b/>
          <w:sz w:val="22"/>
        </w:rPr>
        <w:t>Answer: c</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following instrument is used to detect FHS Name the instrument ?</w:t>
      </w:r>
    </w:p>
    <w:p>
      <w:pPr>
        <w:spacing w:after="0" w:before="0"/>
      </w:pPr>
      <w:r>
        <w:rPr>
          <w:b w:val="0"/>
          <w:sz w:val="22"/>
        </w:rPr>
        <w:t>(a) Sims speculum</w:t>
      </w:r>
    </w:p>
    <w:p>
      <w:pPr>
        <w:spacing w:after="0" w:before="0"/>
      </w:pPr>
      <w:r>
        <w:rPr>
          <w:b w:val="0"/>
          <w:sz w:val="22"/>
        </w:rPr>
        <w:t>(b) Fetoscope</w:t>
      </w:r>
    </w:p>
    <w:p>
      <w:pPr>
        <w:spacing w:after="0" w:before="0"/>
      </w:pPr>
      <w:r>
        <w:rPr>
          <w:b w:val="0"/>
          <w:sz w:val="22"/>
        </w:rPr>
        <w:t>(c) Tenaculum Forceps</w:t>
      </w:r>
    </w:p>
    <w:p>
      <w:pPr>
        <w:spacing w:after="0" w:before="0"/>
      </w:pPr>
      <w:r>
        <w:rPr>
          <w:b w:val="0"/>
          <w:sz w:val="22"/>
        </w:rPr>
        <w:t>(d) outlet forceps</w:t>
      </w:r>
    </w:p>
    <w:p>
      <w:pPr>
        <w:spacing w:after="0" w:before="40"/>
      </w:pPr>
      <w:r>
        <w:rPr>
          <w:b/>
          <w:sz w:val="22"/>
        </w:rPr>
        <w:t>Answer: b</w:t>
      </w:r>
    </w:p>
    <w:p>
      <w:pPr>
        <w:spacing w:after="0" w:before="0"/>
      </w:pPr>
      <w:r>
        <w:rPr>
          <w:b w:val="0"/>
          <w:sz w:val="21"/>
        </w:rPr>
        <w:t>Solution: A fetoscope (Pinard stethoscope) is the instrument used to auscultate fetal heart sounds (FHS).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I immediate hypersensitivity allergic reaction is mediated primarily by immunoglobulin</w:t>
      </w:r>
    </w:p>
    <w:p>
      <w:pPr>
        <w:spacing w:after="0" w:before="0"/>
      </w:pPr>
      <w:r>
        <w:rPr>
          <w:b w:val="0"/>
          <w:sz w:val="22"/>
        </w:rPr>
        <w:t>(a) IgA</w:t>
      </w:r>
    </w:p>
    <w:p>
      <w:pPr>
        <w:spacing w:after="0" w:before="0"/>
      </w:pPr>
      <w:r>
        <w:rPr>
          <w:b w:val="0"/>
          <w:sz w:val="22"/>
        </w:rPr>
        <w:t>(b) IgM</w:t>
      </w:r>
    </w:p>
    <w:p>
      <w:pPr>
        <w:spacing w:after="0" w:before="0"/>
      </w:pPr>
      <w:r>
        <w:rPr>
          <w:b w:val="0"/>
          <w:sz w:val="22"/>
        </w:rPr>
        <w:t>(c) IgE</w:t>
      </w:r>
    </w:p>
    <w:p>
      <w:pPr>
        <w:spacing w:after="0" w:before="0"/>
      </w:pPr>
      <w:r>
        <w:rPr>
          <w:b w:val="0"/>
          <w:sz w:val="22"/>
        </w:rPr>
        <w:t>(d) IgG</w:t>
      </w:r>
    </w:p>
    <w:p>
      <w:pPr>
        <w:spacing w:after="0" w:before="40"/>
      </w:pPr>
      <w:r>
        <w:rPr>
          <w:b/>
          <w:sz w:val="22"/>
        </w:rPr>
        <w:t>Answer: c</w:t>
      </w:r>
    </w:p>
    <w:p>
      <w:pPr>
        <w:spacing w:after="0" w:before="0"/>
      </w:pPr>
      <w:r>
        <w:rPr>
          <w:b w:val="0"/>
          <w:sz w:val="21"/>
        </w:rPr>
        <w:t>Solution: IgE antibodies bind to mast cells and basophils, triggering histamine release upon allergen re-exposure in Type I hypersensitivity (anaphylaxis/asthma).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doctor prescribe a medicine 20mcg BID and available dose is 30mcg/15ml. Calculate the morning single dose?</w:t>
      </w:r>
    </w:p>
    <w:p>
      <w:pPr>
        <w:spacing w:after="0" w:before="0"/>
      </w:pPr>
      <w:r>
        <w:rPr>
          <w:b w:val="0"/>
          <w:sz w:val="22"/>
        </w:rPr>
        <w:t>(a) 25 ml</w:t>
      </w:r>
    </w:p>
    <w:p>
      <w:pPr>
        <w:spacing w:after="0" w:before="0"/>
      </w:pPr>
      <w:r>
        <w:rPr>
          <w:b w:val="0"/>
          <w:sz w:val="22"/>
        </w:rPr>
        <w:t>(b) 10ml</w:t>
      </w:r>
    </w:p>
    <w:p>
      <w:pPr>
        <w:spacing w:after="0" w:before="0"/>
      </w:pPr>
      <w:r>
        <w:rPr>
          <w:b w:val="0"/>
          <w:sz w:val="22"/>
        </w:rPr>
        <w:t>(c) 15 ml</w:t>
      </w:r>
    </w:p>
    <w:p>
      <w:pPr>
        <w:spacing w:after="0" w:before="0"/>
      </w:pPr>
      <w:r>
        <w:rPr>
          <w:b w:val="0"/>
          <w:sz w:val="22"/>
        </w:rPr>
        <w:t>(d) 20 ml</w:t>
      </w:r>
    </w:p>
    <w:p>
      <w:pPr>
        <w:spacing w:after="0" w:before="40"/>
      </w:pPr>
      <w:r>
        <w:rPr>
          <w:b/>
          <w:sz w:val="22"/>
        </w:rPr>
        <w:t>Answer: b</w:t>
      </w:r>
    </w:p>
    <w:p>
      <w:pPr>
        <w:spacing w:after="0" w:before="0"/>
      </w:pPr>
      <w:r>
        <w:rPr>
          <w:b w:val="0"/>
          <w:sz w:val="21"/>
        </w:rPr>
        <w:t>Solution: The question is asking for the morning single dose of a medication that is prescribed as 20mg BID, and the available dose is 30mcg/15ml. The first step is to convert 20mg to mcg, which is 20,000 mcg. Then, the total daily dose is divided by the number of doses per day to calculate the single dose. Therefore, the morning single dose will be (20,000/2) = 10,000 mcg. The next step is to convert 10,000 mcg to ml, which is done by dividing by the concentration, which is 30mcg/15ml, so the answer is 10ml. Understanding for Health Professionals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reason for polyurea is best defined as:</w:t>
      </w:r>
    </w:p>
    <w:p>
      <w:pPr>
        <w:spacing w:after="0" w:before="0"/>
      </w:pPr>
      <w:r>
        <w:rPr>
          <w:b w:val="0"/>
          <w:sz w:val="22"/>
        </w:rPr>
        <w:t>(a) Lack of urine formation</w:t>
      </w:r>
    </w:p>
    <w:p>
      <w:pPr>
        <w:spacing w:after="0" w:before="0"/>
      </w:pPr>
      <w:r>
        <w:rPr>
          <w:b w:val="0"/>
          <w:sz w:val="22"/>
        </w:rPr>
        <w:t>(b) Diminished ability of the kidneys to concentrate the urine</w:t>
      </w:r>
    </w:p>
    <w:p>
      <w:pPr>
        <w:spacing w:after="0" w:before="0"/>
      </w:pPr>
      <w:r>
        <w:rPr>
          <w:b w:val="0"/>
          <w:sz w:val="22"/>
        </w:rPr>
        <w:t>(c) Passing too much urine at night</w:t>
      </w:r>
    </w:p>
    <w:p>
      <w:pPr>
        <w:spacing w:after="0" w:before="0"/>
      </w:pPr>
      <w:r>
        <w:rPr>
          <w:b w:val="0"/>
          <w:sz w:val="22"/>
        </w:rPr>
        <w:t>(d) Dark colored urine</w:t>
      </w:r>
    </w:p>
    <w:p>
      <w:pPr>
        <w:spacing w:after="0" w:before="40"/>
      </w:pPr>
      <w:r>
        <w:rPr>
          <w:b/>
          <w:sz w:val="22"/>
        </w:rPr>
        <w:t>Answer: b</w:t>
      </w:r>
    </w:p>
    <w:p>
      <w:pPr>
        <w:spacing w:after="0" w:before="0"/>
      </w:pPr>
      <w:r>
        <w:rPr>
          <w:b w:val="0"/>
          <w:sz w:val="21"/>
        </w:rPr>
        <w:t>Solution: Polyuria is best defined as the diminished ability of the kidneys to concentrate urine, producing excessive urine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preferred site of administration of intramuscular injection in children under one year is</w:t>
      </w:r>
    </w:p>
    <w:p>
      <w:pPr>
        <w:spacing w:after="0" w:before="0"/>
      </w:pPr>
      <w:r>
        <w:rPr>
          <w:b w:val="0"/>
          <w:sz w:val="22"/>
        </w:rPr>
        <w:t>(a) Ventro gluteal site</w:t>
      </w:r>
    </w:p>
    <w:p>
      <w:pPr>
        <w:spacing w:after="0" w:before="0"/>
      </w:pPr>
      <w:r>
        <w:rPr>
          <w:b w:val="0"/>
          <w:sz w:val="22"/>
        </w:rPr>
        <w:t>(b) Deltoid site</w:t>
      </w:r>
    </w:p>
    <w:p>
      <w:pPr>
        <w:spacing w:after="0" w:before="0"/>
      </w:pPr>
      <w:r>
        <w:rPr>
          <w:b w:val="0"/>
          <w:sz w:val="22"/>
        </w:rPr>
        <w:t>(c) Dorso Gluteal site</w:t>
      </w:r>
    </w:p>
    <w:p>
      <w:pPr>
        <w:spacing w:after="0" w:before="0"/>
      </w:pPr>
      <w:r>
        <w:rPr>
          <w:b w:val="0"/>
          <w:sz w:val="22"/>
        </w:rPr>
        <w:t>(d) Vastus Lateralis</w:t>
      </w:r>
    </w:p>
    <w:p>
      <w:pPr>
        <w:spacing w:after="0" w:before="40"/>
      </w:pPr>
      <w:r>
        <w:rPr>
          <w:b/>
          <w:sz w:val="22"/>
        </w:rPr>
        <w:t>Answer: d</w:t>
      </w:r>
    </w:p>
    <w:p>
      <w:pPr>
        <w:spacing w:after="0" w:before="0"/>
      </w:pPr>
      <w:r>
        <w:rPr>
          <w:b w:val="0"/>
          <w:sz w:val="21"/>
        </w:rPr>
        <w:t>Solution: The vastus lateralis is the preferred IM injection site in children under one year of age (and infants generally).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administration, which of the following drug causes extravasation and damage to site:</w:t>
      </w:r>
    </w:p>
    <w:p>
      <w:pPr>
        <w:spacing w:after="0" w:before="0"/>
      </w:pPr>
      <w:r>
        <w:rPr>
          <w:b w:val="0"/>
          <w:sz w:val="22"/>
        </w:rPr>
        <w:t>(a) Phenytoin</w:t>
      </w:r>
    </w:p>
    <w:p>
      <w:pPr>
        <w:spacing w:after="0" w:before="0"/>
      </w:pPr>
      <w:r>
        <w:rPr>
          <w:b w:val="0"/>
          <w:sz w:val="22"/>
        </w:rPr>
        <w:t>(b) Ranitidine</w:t>
      </w:r>
    </w:p>
    <w:p>
      <w:pPr>
        <w:spacing w:after="0" w:before="0"/>
      </w:pPr>
      <w:r>
        <w:rPr>
          <w:b w:val="0"/>
          <w:sz w:val="22"/>
        </w:rPr>
        <w:t>(c) Diazepam</w:t>
      </w:r>
    </w:p>
    <w:p>
      <w:pPr>
        <w:spacing w:after="0" w:before="0"/>
      </w:pPr>
      <w:r>
        <w:rPr>
          <w:b w:val="0"/>
          <w:sz w:val="22"/>
        </w:rPr>
        <w:t>(d) Epinephrine</w:t>
      </w:r>
    </w:p>
    <w:p>
      <w:pPr>
        <w:spacing w:after="0" w:before="40"/>
      </w:pPr>
      <w:r>
        <w:rPr>
          <w:b/>
          <w:sz w:val="22"/>
        </w:rPr>
        <w:t>Answer: a</w:t>
      </w:r>
    </w:p>
    <w:p>
      <w:pPr>
        <w:spacing w:after="0" w:before="0"/>
      </w:pPr>
      <w:r>
        <w:rPr>
          <w:b w:val="0"/>
          <w:sz w:val="21"/>
        </w:rPr>
        <w:t>Solution: Phenytoin is a vesicant that causes extravasation and tissue damage if it leaks from the IV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administering IV Mannitol (osmotic diuretic), what is the primary nursing monitoring responsibility?</w:t>
      </w:r>
    </w:p>
    <w:p>
      <w:pPr>
        <w:spacing w:after="0" w:before="0"/>
      </w:pPr>
      <w:r>
        <w:rPr>
          <w:b w:val="0"/>
          <w:sz w:val="22"/>
        </w:rPr>
        <w:t>(a) Dietary intake</w:t>
      </w:r>
    </w:p>
    <w:p>
      <w:pPr>
        <w:spacing w:after="0" w:before="0"/>
      </w:pPr>
      <w:r>
        <w:rPr>
          <w:b w:val="0"/>
          <w:sz w:val="22"/>
        </w:rPr>
        <w:t>(b) Monitor hourly urine output and serum osmolality</w:t>
      </w:r>
    </w:p>
    <w:p>
      <w:pPr>
        <w:spacing w:after="0" w:before="0"/>
      </w:pPr>
      <w:r>
        <w:rPr>
          <w:b w:val="0"/>
          <w:sz w:val="22"/>
        </w:rPr>
        <w:t>(c) Monitor therapeutic blood levels</w:t>
      </w:r>
    </w:p>
    <w:p>
      <w:pPr>
        <w:spacing w:after="0" w:before="0"/>
      </w:pPr>
      <w:r>
        <w:rPr>
          <w:b w:val="0"/>
          <w:sz w:val="22"/>
        </w:rPr>
        <w:t>(d) Patient ambulation safety</w:t>
      </w:r>
    </w:p>
    <w:p>
      <w:pPr>
        <w:spacing w:after="0" w:before="40"/>
      </w:pPr>
      <w:r>
        <w:rPr>
          <w:b/>
          <w:sz w:val="22"/>
        </w:rPr>
        <w:t>Answer: b</w:t>
      </w:r>
    </w:p>
    <w:p>
      <w:pPr>
        <w:spacing w:after="0" w:before="0"/>
      </w:pPr>
      <w:r>
        <w:rPr>
          <w:b w:val="0"/>
          <w:sz w:val="21"/>
        </w:rPr>
        <w:t>Solution: Mannitol promotes osmotic diuresis; monitoring hourly urine output, fluid intake, blood pressure, and renal function is vital to prevent dehydration.</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