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the recommended temperature range for storing DPT vaccine?</w:t>
      </w:r>
    </w:p>
    <w:p>
      <w:pPr>
        <w:spacing w:after="0" w:before="0"/>
      </w:pPr>
      <w:r>
        <w:rPr>
          <w:b w:val="0"/>
          <w:sz w:val="22"/>
        </w:rPr>
        <w:t>(a) 0°C to 2°C</w:t>
      </w:r>
    </w:p>
    <w:p>
      <w:pPr>
        <w:spacing w:after="0" w:before="0"/>
      </w:pPr>
      <w:r>
        <w:rPr>
          <w:b w:val="0"/>
          <w:sz w:val="22"/>
        </w:rPr>
        <w:t>(b) 16°C to 22°C</w:t>
      </w:r>
    </w:p>
    <w:p>
      <w:pPr>
        <w:spacing w:after="0" w:before="0"/>
      </w:pPr>
      <w:r>
        <w:rPr>
          <w:b w:val="0"/>
          <w:sz w:val="22"/>
        </w:rPr>
        <w:t>(c) At room temperature</w:t>
      </w:r>
    </w:p>
    <w:p>
      <w:pPr>
        <w:spacing w:after="0" w:before="0"/>
      </w:pPr>
      <w:r>
        <w:rPr>
          <w:b w:val="0"/>
          <w:sz w:val="22"/>
        </w:rPr>
        <w:t>(d) 2°C to 8°C</w:t>
      </w:r>
    </w:p>
    <w:p>
      <w:pPr>
        <w:spacing w:after="0" w:before="40"/>
      </w:pPr>
      <w:r>
        <w:rPr>
          <w:b/>
          <w:sz w:val="22"/>
        </w:rPr>
        <w:t>Answer: d</w:t>
      </w:r>
    </w:p>
    <w:p>
      <w:pPr>
        <w:spacing w:after="0" w:before="0"/>
      </w:pPr>
      <w:r>
        <w:rPr>
          <w:b w:val="0"/>
          <w:sz w:val="21"/>
        </w:rPr>
        <w:t>Solution: The recommended temperature range for storing DPT vaccine is 2°C to 8°C. This temperature range is necessary to ensure that the vaccine remains stable and effective. Vaccines that are exposed to temperatures outside of the recommended range can lose their potency and may not be effective in preventing diseases. Therefore, it is important to store vaccines, including DPT vaccine, in a temperature-controlled environment, such as a refrigerator.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the INCORRECT statement about DMPA (medroxyprogesterone acetate) injection:</w:t>
      </w:r>
    </w:p>
    <w:p>
      <w:pPr>
        <w:spacing w:after="0" w:before="0"/>
      </w:pPr>
      <w:r>
        <w:rPr>
          <w:b w:val="0"/>
          <w:sz w:val="22"/>
        </w:rPr>
        <w:t>(a) It is administered every 3 months</w:t>
      </w:r>
    </w:p>
    <w:p>
      <w:pPr>
        <w:spacing w:after="0" w:before="0"/>
      </w:pPr>
      <w:r>
        <w:rPr>
          <w:b w:val="0"/>
          <w:sz w:val="22"/>
        </w:rPr>
        <w:t>(b) It is available as an oral tablet for daily use</w:t>
      </w:r>
    </w:p>
    <w:p>
      <w:pPr>
        <w:spacing w:after="0" w:before="0"/>
      </w:pPr>
      <w:r>
        <w:rPr>
          <w:b w:val="0"/>
          <w:sz w:val="22"/>
        </w:rPr>
        <w:t>(c) It contains medroxyprogesterone acetate</w:t>
      </w:r>
    </w:p>
    <w:p>
      <w:pPr>
        <w:spacing w:after="0" w:before="0"/>
      </w:pPr>
      <w:r>
        <w:rPr>
          <w:b w:val="0"/>
          <w:sz w:val="22"/>
        </w:rPr>
        <w:t>(d) It is given by the intramuscular route</w:t>
      </w:r>
    </w:p>
    <w:p>
      <w:pPr>
        <w:spacing w:after="0" w:before="40"/>
      </w:pPr>
      <w:r>
        <w:rPr>
          <w:b/>
          <w:sz w:val="22"/>
        </w:rPr>
        <w:t>Answer: b</w:t>
      </w:r>
    </w:p>
    <w:p>
      <w:pPr>
        <w:spacing w:after="0" w:before="0"/>
      </w:pPr>
      <w:r>
        <w:rPr>
          <w:b w:val="0"/>
          <w:sz w:val="21"/>
        </w:rPr>
        <w:t>Solution: DMPA (Depo-Provera) contains medroxyprogesterone acetate and is given as a deep IM injection every 3 months; it is not an oral daily tablet, so that statement is incorrect.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WHO guidelines, which malnutrition parameter is used at anganwadi centers?</w:t>
      </w:r>
    </w:p>
    <w:p>
      <w:pPr>
        <w:spacing w:after="0" w:before="0"/>
      </w:pPr>
      <w:r>
        <w:rPr>
          <w:b w:val="0"/>
          <w:sz w:val="22"/>
        </w:rPr>
        <w:t>(a) Chest circumference</w:t>
      </w:r>
    </w:p>
    <w:p>
      <w:pPr>
        <w:spacing w:after="0" w:before="0"/>
      </w:pPr>
      <w:r>
        <w:rPr>
          <w:b w:val="0"/>
          <w:sz w:val="22"/>
        </w:rPr>
        <w:t>(b) Weight for height</w:t>
      </w:r>
    </w:p>
    <w:p>
      <w:pPr>
        <w:spacing w:after="0" w:before="0"/>
      </w:pPr>
      <w:r>
        <w:rPr>
          <w:b w:val="0"/>
          <w:sz w:val="22"/>
        </w:rPr>
        <w:t>(c) Height for age</w:t>
      </w:r>
    </w:p>
    <w:p>
      <w:pPr>
        <w:spacing w:after="0" w:before="0"/>
      </w:pPr>
      <w:r>
        <w:rPr>
          <w:b w:val="0"/>
          <w:sz w:val="22"/>
        </w:rPr>
        <w:t>(d) MUAC</w:t>
      </w:r>
    </w:p>
    <w:p>
      <w:pPr>
        <w:spacing w:after="0" w:before="40"/>
      </w:pPr>
      <w:r>
        <w:rPr>
          <w:b/>
          <w:sz w:val="22"/>
        </w:rPr>
        <w:t>Answer: b</w:t>
      </w:r>
    </w:p>
    <w:p>
      <w:pPr>
        <w:spacing w:after="0" w:before="0"/>
      </w:pPr>
      <w:r>
        <w:rPr>
          <w:b w:val="0"/>
          <w:sz w:val="21"/>
        </w:rPr>
        <w:t>Solution: According to WHO guidelines, the malnutrition parameter used at anganwadi centers is weight for height (option a). Anganwadi centers are community-based child care and development centers in India that aim to improve the nutritional status and overall development of children below the age of six. Weight for height, also known as the weight-for-height z-score, is a nutritional indicator that assesses acute malnutrition by comparing a child's weight to their height. It provides information about current malnutrition nutritional status and helps identify children at risk of acute malnutrition who may require targeted interventions and support.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modern childhood immunization, one component of the DPT vaccine has been removed due to a high occurrence of side effects. Which component is it?</w:t>
      </w:r>
    </w:p>
    <w:p>
      <w:pPr>
        <w:spacing w:after="0" w:before="0"/>
      </w:pPr>
      <w:r>
        <w:rPr>
          <w:b w:val="0"/>
          <w:sz w:val="22"/>
        </w:rPr>
        <w:t>(a) Tetanus</w:t>
      </w:r>
    </w:p>
    <w:p>
      <w:pPr>
        <w:spacing w:after="0" w:before="0"/>
      </w:pPr>
      <w:r>
        <w:rPr>
          <w:b w:val="0"/>
          <w:sz w:val="22"/>
        </w:rPr>
        <w:t>(b) Diphtheria</w:t>
      </w:r>
    </w:p>
    <w:p>
      <w:pPr>
        <w:spacing w:after="0" w:before="0"/>
      </w:pPr>
      <w:r>
        <w:rPr>
          <w:b w:val="0"/>
          <w:sz w:val="22"/>
        </w:rPr>
        <w:t>(c) Pertussis</w:t>
      </w:r>
    </w:p>
    <w:p>
      <w:pPr>
        <w:spacing w:after="0" w:before="0"/>
      </w:pPr>
      <w:r>
        <w:rPr>
          <w:b w:val="0"/>
          <w:sz w:val="22"/>
        </w:rPr>
        <w:t>(d) All of the above</w:t>
      </w:r>
    </w:p>
    <w:p>
      <w:pPr>
        <w:spacing w:after="0" w:before="40"/>
      </w:pPr>
      <w:r>
        <w:rPr>
          <w:b/>
          <w:sz w:val="22"/>
        </w:rPr>
        <w:t>Answer: c</w:t>
      </w:r>
    </w:p>
    <w:p>
      <w:pPr>
        <w:spacing w:after="0" w:before="0"/>
      </w:pPr>
      <w:r>
        <w:rPr>
          <w:b w:val="0"/>
          <w:sz w:val="21"/>
        </w:rPr>
        <w:t>Solution: In modern childhood immunization, the component of the DPT vaccine that has been removed due to a high occurrence of side effects is pertussis (whooping cough). The original DPT vaccine contained three components: diphtheria toxoid, tetanus toxoid, and whole-cell pertussis vaccine. However, due to concerns about side effects associated with the whole-cell pertussis vaccine, an acellular pertussis vaccine was developed. The acellular pertussis vaccine contains purified components of the pertussis bacterium, which significantly reduces the risk of side effects while still providing protection against whooping cough. This change in the vaccine formulation has contributed to improved safety and acceptability of the DPT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are the benefits of kangaroo mother care?</w:t>
      </w:r>
    </w:p>
    <w:p>
      <w:pPr>
        <w:spacing w:after="0" w:before="0"/>
      </w:pPr>
      <w:r>
        <w:rPr>
          <w:b w:val="0"/>
          <w:sz w:val="22"/>
        </w:rPr>
        <w:t>(a) It maintains temperature.</w:t>
      </w:r>
    </w:p>
    <w:p>
      <w:pPr>
        <w:spacing w:after="0" w:before="0"/>
      </w:pPr>
      <w:r>
        <w:rPr>
          <w:b w:val="0"/>
          <w:sz w:val="22"/>
        </w:rPr>
        <w:t>(b) It is helpful in breast feeding.</w:t>
      </w:r>
    </w:p>
    <w:p>
      <w:pPr>
        <w:spacing w:after="0" w:before="0"/>
      </w:pPr>
      <w:r>
        <w:rPr>
          <w:b w:val="0"/>
          <w:sz w:val="22"/>
        </w:rPr>
        <w:t>(c) It increases the affinity between mother and baby.</w:t>
      </w:r>
    </w:p>
    <w:p>
      <w:pPr>
        <w:spacing w:after="0" w:before="0"/>
      </w:pPr>
      <w:r>
        <w:rPr>
          <w:b w:val="0"/>
          <w:sz w:val="22"/>
        </w:rPr>
        <w:t>(d) All of the above</w:t>
      </w:r>
    </w:p>
    <w:p>
      <w:pPr>
        <w:spacing w:after="0" w:before="40"/>
      </w:pPr>
      <w:r>
        <w:rPr>
          <w:b/>
          <w:sz w:val="22"/>
        </w:rPr>
        <w:t>Answer: d</w:t>
      </w:r>
    </w:p>
    <w:p>
      <w:pPr>
        <w:spacing w:after="0" w:before="0"/>
      </w:pPr>
      <w:r>
        <w:rPr>
          <w:b w:val="0"/>
          <w:sz w:val="21"/>
        </w:rPr>
        <w:t>Solution: Kangaroo mother care maintains temperature, promotes breastfeeding and strengthens mother-infant bonding - all of the above.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clinical features is not typically seen in delirium?</w:t>
      </w:r>
    </w:p>
    <w:p>
      <w:pPr>
        <w:spacing w:after="0" w:before="0"/>
      </w:pPr>
      <w:r>
        <w:rPr>
          <w:b w:val="0"/>
          <w:sz w:val="22"/>
        </w:rPr>
        <w:t>(a) Visual hallucination</w:t>
      </w:r>
    </w:p>
    <w:p>
      <w:pPr>
        <w:spacing w:after="0" w:before="0"/>
      </w:pPr>
      <w:r>
        <w:rPr>
          <w:b w:val="0"/>
          <w:sz w:val="22"/>
        </w:rPr>
        <w:t>(b) Sun-downer syndrome</w:t>
      </w:r>
    </w:p>
    <w:p>
      <w:pPr>
        <w:spacing w:after="0" w:before="0"/>
      </w:pPr>
      <w:r>
        <w:rPr>
          <w:b w:val="0"/>
          <w:sz w:val="22"/>
        </w:rPr>
        <w:t>(c) Agitation</w:t>
      </w:r>
    </w:p>
    <w:p>
      <w:pPr>
        <w:spacing w:after="0" w:before="0"/>
      </w:pPr>
      <w:r>
        <w:rPr>
          <w:b w:val="0"/>
          <w:sz w:val="22"/>
        </w:rPr>
        <w:t>(d) Disturb the Sleep wake cycle</w:t>
      </w:r>
    </w:p>
    <w:p>
      <w:pPr>
        <w:spacing w:after="0" w:before="40"/>
      </w:pPr>
      <w:r>
        <w:rPr>
          <w:b/>
          <w:sz w:val="22"/>
        </w:rPr>
        <w:t>Answer: d</w:t>
      </w:r>
    </w:p>
    <w:p>
      <w:pPr>
        <w:spacing w:after="0" w:before="0"/>
      </w:pPr>
      <w:r>
        <w:rPr>
          <w:b w:val="0"/>
          <w:sz w:val="21"/>
        </w:rPr>
        <w:t>Solution: Sundown syndrome is typically not seen in delirium, its characteristic of dementia. Delirium is a common neuropsychiatric syndrome characterized by a disturbance in attention and awareness, which develops over a short period of time and fluctuates in severity. The key clinical features of delirium include disturbance in attention, disorganized thinking, and altered level of consciousness. In addition to these features, patients with delirium may exhibit symptoms like visual hallucinations, fluctuating levels of consciousness, sleep-wake cycle disturbance, and agitation.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status asthmaticus is receiving nebulized albuterol. Which finding indicates the treatment is effective?</w:t>
      </w:r>
    </w:p>
    <w:p>
      <w:pPr>
        <w:spacing w:after="0" w:before="0"/>
      </w:pPr>
      <w:r>
        <w:rPr>
          <w:b w:val="0"/>
          <w:sz w:val="22"/>
        </w:rPr>
        <w:t>(a) Wheezing becomes louder</w:t>
      </w:r>
    </w:p>
    <w:p>
      <w:pPr>
        <w:spacing w:after="0" w:before="0"/>
      </w:pPr>
      <w:r>
        <w:rPr>
          <w:b w:val="0"/>
          <w:sz w:val="22"/>
        </w:rPr>
        <w:t>(b) Client reports chest tightness</w:t>
      </w:r>
    </w:p>
    <w:p>
      <w:pPr>
        <w:spacing w:after="0" w:before="0"/>
      </w:pPr>
      <w:r>
        <w:rPr>
          <w:b w:val="0"/>
          <w:sz w:val="22"/>
        </w:rPr>
        <w:t>(c) SpO2 falls to 88%</w:t>
      </w:r>
    </w:p>
    <w:p>
      <w:pPr>
        <w:spacing w:after="0" w:before="0"/>
      </w:pPr>
      <w:r>
        <w:rPr>
          <w:b w:val="0"/>
          <w:sz w:val="22"/>
        </w:rPr>
        <w:t>(d) Respiratory rate decreases from 32 to 20 breaths/min</w:t>
      </w:r>
    </w:p>
    <w:p>
      <w:pPr>
        <w:spacing w:after="0" w:before="40"/>
      </w:pPr>
      <w:r>
        <w:rPr>
          <w:b/>
          <w:sz w:val="22"/>
        </w:rPr>
        <w:t>Answer: d</w:t>
      </w:r>
    </w:p>
    <w:p>
      <w:pPr>
        <w:spacing w:after="0" w:before="0"/>
      </w:pPr>
      <w:r>
        <w:rPr>
          <w:b w:val="0"/>
          <w:sz w:val="21"/>
        </w:rPr>
        <w:t>Solution: A falling respiratory rate with improving air entry indicates bronchodilation. Louder wheezing may actually signal improved air movement, but the clearest sign of improvement is a normalizing respiratory rate and oxygenation.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who has type 1 diabetes mellitus admitted in the hospital, a nurse gave him broccoli vegetable to eat but the children refused to eat and requesting to the nurse add the corn in their diet then what should nurse`s response? COVID-19 - disinfectanl , microbiolog C ( Nutrition]</w:t>
      </w:r>
    </w:p>
    <w:p>
      <w:pPr>
        <w:spacing w:after="0" w:before="0"/>
      </w:pPr>
      <w:r>
        <w:rPr>
          <w:b w:val="0"/>
          <w:sz w:val="22"/>
        </w:rPr>
        <w:t>(a) Vegetable can exchange with vegetable only</w:t>
      </w:r>
    </w:p>
    <w:p>
      <w:pPr>
        <w:spacing w:after="0" w:before="0"/>
      </w:pPr>
      <w:r>
        <w:rPr>
          <w:b w:val="0"/>
          <w:sz w:val="22"/>
        </w:rPr>
        <w:t>(b) No exchange of vegetable permitted</w:t>
      </w:r>
    </w:p>
    <w:p>
      <w:pPr>
        <w:spacing w:after="0" w:before="0"/>
      </w:pPr>
      <w:r>
        <w:rPr>
          <w:b w:val="0"/>
          <w:sz w:val="22"/>
        </w:rPr>
        <w:t>(c) Impose the force to eating broccoli</w:t>
      </w:r>
    </w:p>
    <w:p>
      <w:pPr>
        <w:spacing w:after="0" w:before="0"/>
      </w:pPr>
      <w:r>
        <w:rPr>
          <w:b w:val="0"/>
          <w:sz w:val="22"/>
        </w:rPr>
        <w:t>(d) Assure the child that tomorrow will add a new thing</w:t>
      </w:r>
    </w:p>
    <w:p>
      <w:pPr>
        <w:spacing w:after="0" w:before="40"/>
      </w:pPr>
      <w:r>
        <w:rPr>
          <w:b/>
          <w:sz w:val="22"/>
        </w:rPr>
        <w:t>Answer: a</w:t>
      </w:r>
    </w:p>
    <w:p>
      <w:pPr>
        <w:spacing w:after="0" w:before="0"/>
      </w:pPr>
      <w:r>
        <w:rPr>
          <w:b w:val="0"/>
          <w:sz w:val="21"/>
        </w:rPr>
        <w:t>Solution: In a situation where a child with type 1 diabetes mellitus refuses to eat a recommended vegetable, the nurse should offer to exchange the vegetable with another vegetable, but not with non-vegetable options. According to the American Diabetes Association (ADA), meal planning for children with diabetes should include a variety of healthy foods, including vegetables, with a focus on controlling carbohydrate intake to maintain optimal blood glucose levels. However, the ADA also recognizes that it is important to work with children and their families to individualize meal plans to meet their needs and preferences while still achieving glycemic targets. (ADA, 2021)</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on DOTS therapy for tuberculosis reports orange-red discoloration of urine. What should the nurse explain?</w:t>
      </w:r>
    </w:p>
    <w:p>
      <w:pPr>
        <w:spacing w:after="0" w:before="0"/>
      </w:pPr>
      <w:r>
        <w:rPr>
          <w:b w:val="0"/>
          <w:sz w:val="22"/>
        </w:rPr>
        <w:t>(a) It indicates liver damage</w:t>
      </w:r>
    </w:p>
    <w:p>
      <w:pPr>
        <w:spacing w:after="0" w:before="0"/>
      </w:pPr>
      <w:r>
        <w:rPr>
          <w:b w:val="0"/>
          <w:sz w:val="22"/>
        </w:rPr>
        <w:t>(b) The client needs a higher dose</w:t>
      </w:r>
    </w:p>
    <w:p>
      <w:pPr>
        <w:spacing w:after="0" w:before="0"/>
      </w:pPr>
      <w:r>
        <w:rPr>
          <w:b w:val="0"/>
          <w:sz w:val="22"/>
        </w:rPr>
        <w:t>(c) It is a harmless side effect of rifampicin and therapy must continue</w:t>
      </w:r>
    </w:p>
    <w:p>
      <w:pPr>
        <w:spacing w:after="0" w:before="0"/>
      </w:pPr>
      <w:r>
        <w:rPr>
          <w:b w:val="0"/>
          <w:sz w:val="22"/>
        </w:rPr>
        <w:t>(d) The drug must be stopped immediately</w:t>
      </w:r>
    </w:p>
    <w:p>
      <w:pPr>
        <w:spacing w:after="0" w:before="40"/>
      </w:pPr>
      <w:r>
        <w:rPr>
          <w:b/>
          <w:sz w:val="22"/>
        </w:rPr>
        <w:t>Answer: c</w:t>
      </w:r>
    </w:p>
    <w:p>
      <w:pPr>
        <w:spacing w:after="0" w:before="0"/>
      </w:pPr>
      <w:r>
        <w:rPr>
          <w:b w:val="0"/>
          <w:sz w:val="21"/>
        </w:rPr>
        <w:t>Solution: Rifampicin harmlessly turns urine (and tears/sweat) orange-red; the client is reassured and adherence continues. Jaundice or hepatitis symptoms, however, require evaluation.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laboratory value requires IMMEDIATE notification in a client with chronic kidney disease?</w:t>
      </w:r>
    </w:p>
    <w:p>
      <w:pPr>
        <w:spacing w:after="0" w:before="0"/>
      </w:pPr>
      <w:r>
        <w:rPr>
          <w:b w:val="0"/>
          <w:sz w:val="22"/>
        </w:rPr>
        <w:t>(a) Hemoglobin 10.2 g/dL</w:t>
      </w:r>
    </w:p>
    <w:p>
      <w:pPr>
        <w:spacing w:after="0" w:before="0"/>
      </w:pPr>
      <w:r>
        <w:rPr>
          <w:b w:val="0"/>
          <w:sz w:val="22"/>
        </w:rPr>
        <w:t>(b) Serum creatinine 2.4 mg/dL</w:t>
      </w:r>
    </w:p>
    <w:p>
      <w:pPr>
        <w:spacing w:after="0" w:before="0"/>
      </w:pPr>
      <w:r>
        <w:rPr>
          <w:b w:val="0"/>
          <w:sz w:val="22"/>
        </w:rPr>
        <w:t>(c) Blood urea nitrogen 42 mg/dL</w:t>
      </w:r>
    </w:p>
    <w:p>
      <w:pPr>
        <w:spacing w:after="0" w:before="0"/>
      </w:pPr>
      <w:r>
        <w:rPr>
          <w:b w:val="0"/>
          <w:sz w:val="22"/>
        </w:rPr>
        <w:t>(d) Serum potassium 6.8 mEq/L</w:t>
      </w:r>
    </w:p>
    <w:p>
      <w:pPr>
        <w:spacing w:after="0" w:before="40"/>
      </w:pPr>
      <w:r>
        <w:rPr>
          <w:b/>
          <w:sz w:val="22"/>
        </w:rPr>
        <w:t>Answer: d</w:t>
      </w:r>
    </w:p>
    <w:p>
      <w:pPr>
        <w:spacing w:after="0" w:before="0"/>
      </w:pPr>
      <w:r>
        <w:rPr>
          <w:b w:val="0"/>
          <w:sz w:val="21"/>
        </w:rPr>
        <w:t>Solution: Hyperkalemia (&gt;5.5 mEq/L) can precipitate lethal cardiac dysrhythmias; potassium 6.8 mEq/L is a critical value that must be reported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is caring for a client 2 hours after an ischemic stroke. Which assessment finding indicates increased intracranial pressure and needs IMMEDIATE action?</w:t>
      </w:r>
    </w:p>
    <w:p>
      <w:pPr>
        <w:spacing w:after="0" w:before="0"/>
      </w:pPr>
      <w:r>
        <w:rPr>
          <w:b w:val="0"/>
          <w:sz w:val="22"/>
        </w:rPr>
        <w:t>(a) Pupils unequal and sluggish to react</w:t>
      </w:r>
    </w:p>
    <w:p>
      <w:pPr>
        <w:spacing w:after="0" w:before="0"/>
      </w:pPr>
      <w:r>
        <w:rPr>
          <w:b w:val="0"/>
          <w:sz w:val="22"/>
        </w:rPr>
        <w:t>(b) Right-sided hemiparesis</w:t>
      </w:r>
    </w:p>
    <w:p>
      <w:pPr>
        <w:spacing w:after="0" w:before="0"/>
      </w:pPr>
      <w:r>
        <w:rPr>
          <w:b w:val="0"/>
          <w:sz w:val="22"/>
        </w:rPr>
        <w:t>(c) Blood pressure 150/90 mm Hg</w:t>
      </w:r>
    </w:p>
    <w:p>
      <w:pPr>
        <w:spacing w:after="0" w:before="0"/>
      </w:pPr>
      <w:r>
        <w:rPr>
          <w:b w:val="0"/>
          <w:sz w:val="22"/>
        </w:rPr>
        <w:t>(d) Mild expressive aphasia</w:t>
      </w:r>
    </w:p>
    <w:p>
      <w:pPr>
        <w:spacing w:after="0" w:before="40"/>
      </w:pPr>
      <w:r>
        <w:rPr>
          <w:b/>
          <w:sz w:val="22"/>
        </w:rPr>
        <w:t>Answer: a</w:t>
      </w:r>
    </w:p>
    <w:p>
      <w:pPr>
        <w:spacing w:after="0" w:before="0"/>
      </w:pPr>
      <w:r>
        <w:rPr>
          <w:b w:val="0"/>
          <w:sz w:val="21"/>
        </w:rPr>
        <w:t>Solution: Unequal, sluggish pupils are a late and ominous sign of rising intracranial pressure (uncal herniation); the other options are expected stroke deficits.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medication can cause cervical dystonia (torticollis) or neck turning to one side?</w:t>
      </w:r>
    </w:p>
    <w:p>
      <w:pPr>
        <w:spacing w:after="0" w:before="0"/>
      </w:pPr>
      <w:r>
        <w:rPr>
          <w:b w:val="0"/>
          <w:sz w:val="22"/>
        </w:rPr>
        <w:t>(a) Escitalopram</w:t>
      </w:r>
    </w:p>
    <w:p>
      <w:pPr>
        <w:spacing w:after="0" w:before="0"/>
      </w:pPr>
      <w:r>
        <w:rPr>
          <w:b w:val="0"/>
          <w:sz w:val="22"/>
        </w:rPr>
        <w:t>(b) Resperidone</w:t>
      </w:r>
    </w:p>
    <w:p>
      <w:pPr>
        <w:spacing w:after="0" w:before="0"/>
      </w:pPr>
      <w:r>
        <w:rPr>
          <w:b w:val="0"/>
          <w:sz w:val="22"/>
        </w:rPr>
        <w:t>(c) Valproate</w:t>
      </w:r>
    </w:p>
    <w:p>
      <w:pPr>
        <w:spacing w:after="0" w:before="0"/>
      </w:pPr>
      <w:r>
        <w:rPr>
          <w:b w:val="0"/>
          <w:sz w:val="22"/>
        </w:rPr>
        <w:t>(d) Phenytoin</w:t>
      </w:r>
    </w:p>
    <w:p>
      <w:pPr>
        <w:spacing w:after="0" w:before="40"/>
      </w:pPr>
      <w:r>
        <w:rPr>
          <w:b/>
          <w:sz w:val="22"/>
        </w:rPr>
        <w:t>Answer: b</w:t>
      </w:r>
    </w:p>
    <w:p>
      <w:pPr>
        <w:spacing w:after="0" w:before="0"/>
      </w:pPr>
      <w:r>
        <w:rPr>
          <w:b w:val="0"/>
          <w:sz w:val="21"/>
        </w:rPr>
        <w:t>Solution: Risperidone (option D) is a medication that can cause cervical dystonia or torticollis, which is the involuntary turning of the neck to one side. Cervical dystonia is a movement disorder characterized by abnormal muscle contractions in the neck, resulting in sustained or intermittent twisting and posturing of the head. Risperidone is an antipsychotic medication commonly used to treat conditions such as schizophrenia and bipolar disorder. Although rare, cervical dystonia can be a side effect of resperidone treatment. Other medications, such as certain antidepressants and anti-nausea drugs, can also cause cervical dystonia as an adverse effect.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is on chemotherapy. The nurse should teacher the mother about the following; except:</w:t>
      </w:r>
    </w:p>
    <w:p>
      <w:pPr>
        <w:spacing w:after="0" w:before="0"/>
      </w:pPr>
      <w:r>
        <w:rPr>
          <w:b w:val="0"/>
          <w:sz w:val="22"/>
        </w:rPr>
        <w:t>(a) Avoid crowded place</w:t>
      </w:r>
    </w:p>
    <w:p>
      <w:pPr>
        <w:spacing w:after="0" w:before="0"/>
      </w:pPr>
      <w:r>
        <w:rPr>
          <w:b w:val="0"/>
          <w:sz w:val="22"/>
        </w:rPr>
        <w:t>(b) Hand washing</w:t>
      </w:r>
    </w:p>
    <w:p>
      <w:pPr>
        <w:spacing w:after="0" w:before="0"/>
      </w:pPr>
      <w:r>
        <w:rPr>
          <w:b w:val="0"/>
          <w:sz w:val="22"/>
        </w:rPr>
        <w:t>(c) Brush two times</w:t>
      </w:r>
    </w:p>
    <w:p>
      <w:pPr>
        <w:spacing w:after="0" w:before="0"/>
      </w:pPr>
      <w:r>
        <w:rPr>
          <w:b w:val="0"/>
          <w:sz w:val="22"/>
        </w:rPr>
        <w:t>(d) Sitz bath</w:t>
      </w:r>
    </w:p>
    <w:p>
      <w:pPr>
        <w:spacing w:after="0" w:before="40"/>
      </w:pPr>
      <w:r>
        <w:rPr>
          <w:b/>
          <w:sz w:val="22"/>
        </w:rPr>
        <w:t>Answer: d</w:t>
      </w:r>
    </w:p>
    <w:p>
      <w:pPr>
        <w:spacing w:after="0" w:before="0"/>
      </w:pPr>
      <w:r>
        <w:rPr>
          <w:b w:val="0"/>
          <w:sz w:val="21"/>
        </w:rPr>
        <w:t>Solution: The mother is taught hand washing, avoiding crowded places and oral care; a sitz bath is not relevant to chemotherapy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a fractured femur suddenly develops dyspnea, chest pain and confusion 48 hours after injury. Which complication should the nurse suspect FIRST?</w:t>
      </w:r>
    </w:p>
    <w:p>
      <w:pPr>
        <w:spacing w:after="0" w:before="0"/>
      </w:pPr>
      <w:r>
        <w:rPr>
          <w:b w:val="0"/>
          <w:sz w:val="22"/>
        </w:rPr>
        <w:t>(a) Pneumothorax</w:t>
      </w:r>
    </w:p>
    <w:p>
      <w:pPr>
        <w:spacing w:after="0" w:before="0"/>
      </w:pPr>
      <w:r>
        <w:rPr>
          <w:b w:val="0"/>
          <w:sz w:val="22"/>
        </w:rPr>
        <w:t>(b) Hypovolemic shock</w:t>
      </w:r>
    </w:p>
    <w:p>
      <w:pPr>
        <w:spacing w:after="0" w:before="0"/>
      </w:pPr>
      <w:r>
        <w:rPr>
          <w:b w:val="0"/>
          <w:sz w:val="22"/>
        </w:rPr>
        <w:t>(c) Pulmonary embolism</w:t>
      </w:r>
    </w:p>
    <w:p>
      <w:pPr>
        <w:spacing w:after="0" w:before="0"/>
      </w:pPr>
      <w:r>
        <w:rPr>
          <w:b w:val="0"/>
          <w:sz w:val="22"/>
        </w:rPr>
        <w:t>(d) Fat embolism syndrome</w:t>
      </w:r>
    </w:p>
    <w:p>
      <w:pPr>
        <w:spacing w:after="0" w:before="40"/>
      </w:pPr>
      <w:r>
        <w:rPr>
          <w:b/>
          <w:sz w:val="22"/>
        </w:rPr>
        <w:t>Answer: d</w:t>
      </w:r>
    </w:p>
    <w:p>
      <w:pPr>
        <w:spacing w:after="0" w:before="0"/>
      </w:pPr>
      <w:r>
        <w:rPr>
          <w:b w:val="0"/>
          <w:sz w:val="21"/>
        </w:rPr>
        <w:t>Solution: Fat embolism, most common after long-bone fractures, classically presents with respiratory distress and confusion 24-72 hours after injury (petechiae over the chest are a hallmark).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type of catheter is used for intermittent catheterization and is removed immediately after the bladder is emptied?</w:t>
      </w:r>
    </w:p>
    <w:p>
      <w:pPr>
        <w:spacing w:after="0" w:before="0"/>
      </w:pPr>
      <w:r>
        <w:rPr>
          <w:b w:val="0"/>
          <w:sz w:val="22"/>
        </w:rPr>
        <w:t>(a) Straight (Nelaton) catheter</w:t>
      </w:r>
    </w:p>
    <w:p>
      <w:pPr>
        <w:spacing w:after="0" w:before="0"/>
      </w:pPr>
      <w:r>
        <w:rPr>
          <w:b w:val="0"/>
          <w:sz w:val="22"/>
        </w:rPr>
        <w:t>(b) Foley catheter</w:t>
      </w:r>
    </w:p>
    <w:p>
      <w:pPr>
        <w:spacing w:after="0" w:before="0"/>
      </w:pPr>
      <w:r>
        <w:rPr>
          <w:b w:val="0"/>
          <w:sz w:val="22"/>
        </w:rPr>
        <w:t>(c) Pezzer catheter</w:t>
      </w:r>
    </w:p>
    <w:p>
      <w:pPr>
        <w:spacing w:after="0" w:before="0"/>
      </w:pPr>
      <w:r>
        <w:rPr>
          <w:b w:val="0"/>
          <w:sz w:val="22"/>
        </w:rPr>
        <w:t>(d) Malecot catheter</w:t>
      </w:r>
    </w:p>
    <w:p>
      <w:pPr>
        <w:spacing w:after="0" w:before="40"/>
      </w:pPr>
      <w:r>
        <w:rPr>
          <w:b/>
          <w:sz w:val="22"/>
        </w:rPr>
        <w:t>Answer: a</w:t>
      </w:r>
    </w:p>
    <w:p>
      <w:pPr>
        <w:spacing w:after="0" w:before="0"/>
      </w:pPr>
      <w:r>
        <w:rPr>
          <w:b w:val="0"/>
          <w:sz w:val="21"/>
        </w:rPr>
        <w:t>Solution: A straight (Nelaton) catheter is a single-lumen catheter used for intermittent catheterization and is removed once the bladder is drained; a Foley catheter is self-retaining because of its balloon.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Addison's disease, the nurse should observe the patient for:</w:t>
      </w:r>
    </w:p>
    <w:p>
      <w:pPr>
        <w:spacing w:after="0" w:before="0"/>
      </w:pPr>
      <w:r>
        <w:rPr>
          <w:b w:val="0"/>
          <w:sz w:val="22"/>
        </w:rPr>
        <w:t>(a) Hypotension and hyperpigmentation</w:t>
      </w:r>
    </w:p>
    <w:p>
      <w:pPr>
        <w:spacing w:after="0" w:before="0"/>
      </w:pPr>
      <w:r>
        <w:rPr>
          <w:b w:val="0"/>
          <w:sz w:val="22"/>
        </w:rPr>
        <w:t>(b) Weight gain and moon face</w:t>
      </w:r>
    </w:p>
    <w:p>
      <w:pPr>
        <w:spacing w:after="0" w:before="0"/>
      </w:pPr>
      <w:r>
        <w:rPr>
          <w:b w:val="0"/>
          <w:sz w:val="22"/>
        </w:rPr>
        <w:t>(c) Hypertension and oedema</w:t>
      </w:r>
    </w:p>
    <w:p>
      <w:pPr>
        <w:spacing w:after="0" w:before="0"/>
      </w:pPr>
      <w:r>
        <w:rPr>
          <w:b w:val="0"/>
          <w:sz w:val="22"/>
        </w:rPr>
        <w:t>(d) Hyperthermia and polyuria</w:t>
      </w:r>
    </w:p>
    <w:p>
      <w:pPr>
        <w:spacing w:after="0" w:before="40"/>
      </w:pPr>
      <w:r>
        <w:rPr>
          <w:b/>
          <w:sz w:val="22"/>
        </w:rPr>
        <w:t>Answer: a</w:t>
      </w:r>
    </w:p>
    <w:p>
      <w:pPr>
        <w:spacing w:after="0" w:before="0"/>
      </w:pPr>
      <w:r>
        <w:rPr>
          <w:b w:val="0"/>
          <w:sz w:val="21"/>
        </w:rPr>
        <w:t>Solution: Addison's disease causes hypotension, fatigue, hyperpigmentation and hyponatremia.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drug used for the management of alcohol withdrawal symptoms?</w:t>
      </w:r>
    </w:p>
    <w:p>
      <w:pPr>
        <w:spacing w:after="0" w:before="0"/>
      </w:pPr>
      <w:r>
        <w:rPr>
          <w:b w:val="0"/>
          <w:sz w:val="22"/>
        </w:rPr>
        <w:t>(a) Naltrexone</w:t>
      </w:r>
    </w:p>
    <w:p>
      <w:pPr>
        <w:spacing w:after="0" w:before="0"/>
      </w:pPr>
      <w:r>
        <w:rPr>
          <w:b w:val="0"/>
          <w:sz w:val="22"/>
        </w:rPr>
        <w:t>(b) Acarbose</w:t>
      </w:r>
    </w:p>
    <w:p>
      <w:pPr>
        <w:spacing w:after="0" w:before="0"/>
      </w:pPr>
      <w:r>
        <w:rPr>
          <w:b w:val="0"/>
          <w:sz w:val="22"/>
        </w:rPr>
        <w:t>(c) Disulfiram</w:t>
      </w:r>
    </w:p>
    <w:p>
      <w:pPr>
        <w:spacing w:after="0" w:before="0"/>
      </w:pPr>
      <w:r>
        <w:rPr>
          <w:b w:val="0"/>
          <w:sz w:val="22"/>
        </w:rPr>
        <w:t>(d) Chlordiazepoxide</w:t>
      </w:r>
    </w:p>
    <w:p>
      <w:pPr>
        <w:spacing w:after="0" w:before="40"/>
      </w:pPr>
      <w:r>
        <w:rPr>
          <w:b/>
          <w:sz w:val="22"/>
        </w:rPr>
        <w:t>Answer: d</w:t>
      </w:r>
    </w:p>
    <w:p>
      <w:pPr>
        <w:spacing w:after="0" w:before="0"/>
      </w:pPr>
      <w:r>
        <w:rPr>
          <w:b w:val="0"/>
          <w:sz w:val="21"/>
        </w:rPr>
        <w:t>Solution: Chlordiazepoxide is a drug used for the management of alcohol withdrawal symptoms. It is a benzodiazepine that works by decreasing the excitability of the central nervous system, which can help alleviate symptoms such as anxiety, tremors, and seizures.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absolute contraindication for liver biopsy in children? Live Biopsy in children</w:t>
      </w:r>
    </w:p>
    <w:p>
      <w:pPr>
        <w:spacing w:after="0" w:before="0"/>
      </w:pPr>
      <w:r>
        <w:rPr>
          <w:b w:val="0"/>
          <w:sz w:val="22"/>
        </w:rPr>
        <w:t>(a) Pneumothorax</w:t>
      </w:r>
    </w:p>
    <w:p>
      <w:pPr>
        <w:spacing w:after="0" w:before="0"/>
      </w:pPr>
      <w:r>
        <w:rPr>
          <w:b w:val="0"/>
          <w:sz w:val="22"/>
        </w:rPr>
        <w:t>(b) Bleeding</w:t>
      </w:r>
    </w:p>
    <w:p>
      <w:pPr>
        <w:spacing w:after="0" w:before="0"/>
      </w:pPr>
      <w:r>
        <w:rPr>
          <w:b w:val="0"/>
          <w:sz w:val="22"/>
        </w:rPr>
        <w:t>(c) Coagulopathy</w:t>
      </w:r>
    </w:p>
    <w:p>
      <w:pPr>
        <w:spacing w:after="0" w:before="0"/>
      </w:pPr>
      <w:r>
        <w:rPr>
          <w:b w:val="0"/>
          <w:sz w:val="22"/>
        </w:rPr>
        <w:t>(d) Tumour in liver</w:t>
      </w:r>
    </w:p>
    <w:p>
      <w:pPr>
        <w:spacing w:after="0" w:before="40"/>
      </w:pPr>
      <w:r>
        <w:rPr>
          <w:b/>
          <w:sz w:val="22"/>
        </w:rPr>
        <w:t>Answer: c</w:t>
      </w:r>
    </w:p>
    <w:p>
      <w:pPr>
        <w:spacing w:after="0" w:before="0"/>
      </w:pPr>
      <w:r>
        <w:rPr>
          <w:b w:val="0"/>
          <w:sz w:val="21"/>
        </w:rPr>
        <w:t>Solution: Liver biopsy is a relatively safe procedure, but certain conditions may increase the risk of complications. Absolute contraindications for liver biopsy in children include severe coagulopathy, uncontrolled bleeding disorders, and suspected malignant lesions with a high risk of needle tract seeding. Before performing the procedure, it is essential to evaluate the patient's medical history, coagulation profile, and imaging findings to determine the risk-benefit ratio.</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disactivated whole virion vaccine</w:t>
      </w:r>
    </w:p>
    <w:p>
      <w:pPr>
        <w:spacing w:after="0" w:before="0"/>
      </w:pPr>
      <w:r>
        <w:rPr>
          <w:b w:val="0"/>
          <w:sz w:val="22"/>
        </w:rPr>
        <w:t>(a) Covaxin</w:t>
      </w:r>
    </w:p>
    <w:p>
      <w:pPr>
        <w:spacing w:after="0" w:before="0"/>
      </w:pPr>
      <w:r>
        <w:rPr>
          <w:b w:val="0"/>
          <w:sz w:val="22"/>
        </w:rPr>
        <w:t>(b) Moderna</w:t>
      </w:r>
    </w:p>
    <w:p>
      <w:pPr>
        <w:spacing w:after="0" w:before="0"/>
      </w:pPr>
      <w:r>
        <w:rPr>
          <w:b w:val="0"/>
          <w:sz w:val="22"/>
        </w:rPr>
        <w:t>(c) Sputnik</w:t>
      </w:r>
    </w:p>
    <w:p>
      <w:pPr>
        <w:spacing w:after="0" w:before="0"/>
      </w:pPr>
      <w:r>
        <w:rPr>
          <w:b w:val="0"/>
          <w:sz w:val="22"/>
        </w:rPr>
        <w:t>(d) Covishield</w:t>
      </w:r>
    </w:p>
    <w:p>
      <w:pPr>
        <w:spacing w:after="0" w:before="40"/>
      </w:pPr>
      <w:r>
        <w:rPr>
          <w:b/>
          <w:sz w:val="22"/>
        </w:rPr>
        <w:t>Answer: a</w:t>
      </w:r>
    </w:p>
    <w:p>
      <w:pPr>
        <w:spacing w:after="0" w:before="0"/>
      </w:pPr>
      <w:r>
        <w:rPr>
          <w:b w:val="0"/>
          <w:sz w:val="21"/>
        </w:rPr>
        <w:t>Solution: Covaxin (BBV152) is a whole-virion inactivated vaccine; Covishield and Sputnik are vector vaccines, Moderna is mRNA.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bus related to bus depo then aeroplane is related to?</w:t>
      </w:r>
    </w:p>
    <w:p>
      <w:pPr>
        <w:spacing w:after="0" w:before="0"/>
      </w:pPr>
      <w:r>
        <w:rPr>
          <w:b w:val="0"/>
          <w:sz w:val="22"/>
        </w:rPr>
        <w:t>(a) Hangar</w:t>
      </w:r>
    </w:p>
    <w:p>
      <w:pPr>
        <w:spacing w:after="0" w:before="0"/>
      </w:pPr>
      <w:r>
        <w:rPr>
          <w:b w:val="0"/>
          <w:sz w:val="22"/>
        </w:rPr>
        <w:t>(b) Yard</w:t>
      </w:r>
    </w:p>
    <w:p>
      <w:pPr>
        <w:spacing w:after="0" w:before="0"/>
      </w:pPr>
      <w:r>
        <w:rPr>
          <w:b w:val="0"/>
          <w:sz w:val="22"/>
        </w:rPr>
        <w:t>(c) Airport</w:t>
      </w:r>
    </w:p>
    <w:p>
      <w:pPr>
        <w:spacing w:after="0" w:before="0"/>
      </w:pPr>
      <w:r>
        <w:rPr>
          <w:b w:val="0"/>
          <w:sz w:val="22"/>
        </w:rPr>
        <w:t>(d) Garage</w:t>
      </w:r>
    </w:p>
    <w:p>
      <w:pPr>
        <w:spacing w:after="0" w:before="40"/>
      </w:pPr>
      <w:r>
        <w:rPr>
          <w:b/>
          <w:sz w:val="22"/>
        </w:rPr>
        <w:t>Answer: a</w:t>
      </w:r>
    </w:p>
    <w:p>
      <w:pPr>
        <w:spacing w:after="0" w:before="0"/>
      </w:pPr>
      <w:r>
        <w:rPr>
          <w:b w:val="0"/>
          <w:sz w:val="21"/>
        </w:rPr>
        <w:t>Solution: If a bus is related to the bus depot, then an airplane is related to a hangar (option D). A bus depot is a designated area where buses are parked, maintained, and serviced. Similarly, an airplane is commonly stored, maintained, and sheltered in a hangar. A hangar is a large structure or building specifically designed to accommodate and protect aircraft. It provides storage, maintenance facilities, and a controlled environment for airplanes. Just as a bus is associated with a bus depot, an airplane is associated with a hangar for proper storage, maintenance, and security.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