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An older male patient receiving normal saline 0.9% through IV line complains of shortness of breath and palpitation. The assessment reveals that the central venous pressure (CVP) is 18 cm H2O. What would be the priority nursing intervention?</w:t>
      </w:r>
    </w:p>
    <w:p>
      <w:pPr>
        <w:spacing w:after="0" w:before="0"/>
      </w:pPr>
      <w:r>
        <w:rPr>
          <w:b w:val="0"/>
          <w:sz w:val="22"/>
        </w:rPr>
        <w:t>(a) Notify to the physician</w:t>
      </w:r>
    </w:p>
    <w:p>
      <w:pPr>
        <w:spacing w:after="0" w:before="0"/>
      </w:pPr>
      <w:r>
        <w:rPr>
          <w:b w:val="0"/>
          <w:sz w:val="22"/>
        </w:rPr>
        <w:t>(b) Discontinue the fluid</w:t>
      </w:r>
    </w:p>
    <w:p>
      <w:pPr>
        <w:spacing w:after="0" w:before="0"/>
      </w:pPr>
      <w:r>
        <w:rPr>
          <w:b w:val="0"/>
          <w:sz w:val="22"/>
        </w:rPr>
        <w:t>(c) Increase the flow rate of IV fluid</w:t>
      </w:r>
    </w:p>
    <w:p>
      <w:pPr>
        <w:spacing w:after="0" w:before="0"/>
      </w:pPr>
      <w:r>
        <w:rPr>
          <w:b w:val="0"/>
          <w:sz w:val="22"/>
        </w:rPr>
        <w:t>(d) Continue the IV fluid</w:t>
      </w:r>
    </w:p>
    <w:p>
      <w:pPr>
        <w:spacing w:after="0" w:before="40"/>
      </w:pPr>
      <w:r>
        <w:rPr>
          <w:b/>
          <w:sz w:val="22"/>
        </w:rPr>
        <w:t>Answer: a</w:t>
      </w:r>
    </w:p>
    <w:p>
      <w:pPr>
        <w:spacing w:after="0" w:before="0"/>
      </w:pPr>
      <w:r>
        <w:rPr>
          <w:b w:val="0"/>
          <w:sz w:val="21"/>
        </w:rPr>
        <w:t>Solution: Shortness of breath and an elevated CVP during an IV infusion indicate fluid overload; the nurse should stop/slow the infusion and notify the physician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milk secreted by the mother after delivery, rich in antibodies, is called:</w:t>
      </w:r>
    </w:p>
    <w:p>
      <w:pPr>
        <w:spacing w:after="0" w:before="0"/>
      </w:pPr>
      <w:r>
        <w:rPr>
          <w:b w:val="0"/>
          <w:sz w:val="22"/>
        </w:rPr>
        <w:t>(a) Colostrum</w:t>
      </w:r>
    </w:p>
    <w:p>
      <w:pPr>
        <w:spacing w:after="0" w:before="0"/>
      </w:pPr>
      <w:r>
        <w:rPr>
          <w:b w:val="0"/>
          <w:sz w:val="22"/>
        </w:rPr>
        <w:t>(b) Transitional milk</w:t>
      </w:r>
    </w:p>
    <w:p>
      <w:pPr>
        <w:spacing w:after="0" w:before="0"/>
      </w:pPr>
      <w:r>
        <w:rPr>
          <w:b w:val="0"/>
          <w:sz w:val="22"/>
        </w:rPr>
        <w:t>(c) Mature milk</w:t>
      </w:r>
    </w:p>
    <w:p>
      <w:pPr>
        <w:spacing w:after="0" w:before="0"/>
      </w:pPr>
      <w:r>
        <w:rPr>
          <w:b w:val="0"/>
          <w:sz w:val="22"/>
        </w:rPr>
        <w:t>(d) Hind milk</w:t>
      </w:r>
    </w:p>
    <w:p>
      <w:pPr>
        <w:spacing w:after="0" w:before="40"/>
      </w:pPr>
      <w:r>
        <w:rPr>
          <w:b/>
          <w:sz w:val="22"/>
        </w:rPr>
        <w:t>Answer: a</w:t>
      </w:r>
    </w:p>
    <w:p>
      <w:pPr>
        <w:spacing w:after="0" w:before="0"/>
      </w:pPr>
      <w:r>
        <w:rPr>
          <w:b w:val="0"/>
          <w:sz w:val="21"/>
        </w:rPr>
        <w:t>Solution: Colostrum, secreted in the first few days, is rich in immunoglobulins (IgA) and protects the newborn.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and most sensitive indicator of increased intracranial pressure (ICP) is:</w:t>
      </w:r>
    </w:p>
    <w:p>
      <w:pPr>
        <w:spacing w:after="0" w:before="0"/>
      </w:pPr>
      <w:r>
        <w:rPr>
          <w:b w:val="0"/>
          <w:sz w:val="22"/>
        </w:rPr>
        <w:t>(a) Vomiting</w:t>
      </w:r>
    </w:p>
    <w:p>
      <w:pPr>
        <w:spacing w:after="0" w:before="0"/>
      </w:pPr>
      <w:r>
        <w:rPr>
          <w:b w:val="0"/>
          <w:sz w:val="22"/>
        </w:rPr>
        <w:t>(b) Papilloedema</w:t>
      </w:r>
    </w:p>
    <w:p>
      <w:pPr>
        <w:spacing w:after="0" w:before="0"/>
      </w:pPr>
      <w:r>
        <w:rPr>
          <w:b w:val="0"/>
          <w:sz w:val="22"/>
        </w:rPr>
        <w:t>(c) Bradycardia</w:t>
      </w:r>
    </w:p>
    <w:p>
      <w:pPr>
        <w:spacing w:after="0" w:before="0"/>
      </w:pPr>
      <w:r>
        <w:rPr>
          <w:b w:val="0"/>
          <w:sz w:val="22"/>
        </w:rPr>
        <w:t>(d) Altered level of consciousness</w:t>
      </w:r>
    </w:p>
    <w:p>
      <w:pPr>
        <w:spacing w:after="0" w:before="40"/>
      </w:pPr>
      <w:r>
        <w:rPr>
          <w:b/>
          <w:sz w:val="22"/>
        </w:rPr>
        <w:t>Answer: d</w:t>
      </w:r>
    </w:p>
    <w:p>
      <w:pPr>
        <w:spacing w:after="0" w:before="0"/>
      </w:pPr>
      <w:r>
        <w:rPr>
          <w:b w:val="0"/>
          <w:sz w:val="21"/>
        </w:rPr>
        <w:t>Solution: A change in the level of consciousness is the earliest sign of rising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Where is the global headquarters of the World Health Organization (WHO) situated?</w:t>
      </w:r>
    </w:p>
    <w:p>
      <w:pPr>
        <w:spacing w:after="0" w:before="0"/>
      </w:pPr>
      <w:r>
        <w:rPr>
          <w:b w:val="0"/>
          <w:sz w:val="22"/>
        </w:rPr>
        <w:t>(a) Rome, Italy</w:t>
      </w:r>
    </w:p>
    <w:p>
      <w:pPr>
        <w:spacing w:after="0" w:before="0"/>
      </w:pPr>
      <w:r>
        <w:rPr>
          <w:b w:val="0"/>
          <w:sz w:val="22"/>
        </w:rPr>
        <w:t>(b) Geneva, Switzerland</w:t>
      </w:r>
    </w:p>
    <w:p>
      <w:pPr>
        <w:spacing w:after="0" w:before="0"/>
      </w:pPr>
      <w:r>
        <w:rPr>
          <w:b w:val="0"/>
          <w:sz w:val="22"/>
        </w:rPr>
        <w:t>(c) Paris, France</w:t>
      </w:r>
    </w:p>
    <w:p>
      <w:pPr>
        <w:spacing w:after="0" w:before="0"/>
      </w:pPr>
      <w:r>
        <w:rPr>
          <w:b w:val="0"/>
          <w:sz w:val="22"/>
        </w:rPr>
        <w:t>(d) Washington D.C., USA</w:t>
      </w:r>
    </w:p>
    <w:p>
      <w:pPr>
        <w:spacing w:after="0" w:before="40"/>
      </w:pPr>
      <w:r>
        <w:rPr>
          <w:b/>
          <w:sz w:val="22"/>
        </w:rPr>
        <w:t>Answer: b</w:t>
      </w:r>
    </w:p>
    <w:p>
      <w:pPr>
        <w:spacing w:after="0" w:before="0"/>
      </w:pPr>
      <w:r>
        <w:rPr>
          <w:b w:val="0"/>
          <w:sz w:val="21"/>
        </w:rPr>
        <w:t>Solution: The World Health Organization (WHO) was founded in 1948 and its global headquarters is located in Geneva, Switzerland.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assessment finding is the EARLIEST indicator of compartment syndrome in a client with a fractured tibia?</w:t>
      </w:r>
    </w:p>
    <w:p>
      <w:pPr>
        <w:spacing w:after="0" w:before="0"/>
      </w:pPr>
      <w:r>
        <w:rPr>
          <w:b w:val="0"/>
          <w:sz w:val="22"/>
        </w:rPr>
        <w:t>(a) Capillary refill of 5 seconds</w:t>
      </w:r>
    </w:p>
    <w:p>
      <w:pPr>
        <w:spacing w:after="0" w:before="0"/>
      </w:pPr>
      <w:r>
        <w:rPr>
          <w:b w:val="0"/>
          <w:sz w:val="22"/>
        </w:rPr>
        <w:t>(b) Pain out of proportion that increases with passive stretch</w:t>
      </w:r>
    </w:p>
    <w:p>
      <w:pPr>
        <w:spacing w:after="0" w:before="0"/>
      </w:pPr>
      <w:r>
        <w:rPr>
          <w:b w:val="0"/>
          <w:sz w:val="22"/>
        </w:rPr>
        <w:t>(c) Absent pedal pulse</w:t>
      </w:r>
    </w:p>
    <w:p>
      <w:pPr>
        <w:spacing w:after="0" w:before="0"/>
      </w:pPr>
      <w:r>
        <w:rPr>
          <w:b w:val="0"/>
          <w:sz w:val="22"/>
        </w:rPr>
        <w:t>(d) Cool, cyanotic toes</w:t>
      </w:r>
    </w:p>
    <w:p>
      <w:pPr>
        <w:spacing w:after="0" w:before="40"/>
      </w:pPr>
      <w:r>
        <w:rPr>
          <w:b/>
          <w:sz w:val="22"/>
        </w:rPr>
        <w:t>Answer: b</w:t>
      </w:r>
    </w:p>
    <w:p>
      <w:pPr>
        <w:spacing w:after="0" w:before="0"/>
      </w:pPr>
      <w:r>
        <w:rPr>
          <w:b w:val="0"/>
          <w:sz w:val="21"/>
        </w:rPr>
        <w:t>Solution: Severe pain worsened by passive stretching is the earliest sign of compartment syndrome; pallor and absent pulses are late findings that appear after irreversible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priority nursing intervention for a patient with a head injury is:</w:t>
      </w:r>
    </w:p>
    <w:p>
      <w:pPr>
        <w:spacing w:after="0" w:before="0"/>
      </w:pPr>
      <w:r>
        <w:rPr>
          <w:b w:val="0"/>
          <w:sz w:val="22"/>
        </w:rPr>
        <w:t>(a) Elevating the foot end</w:t>
      </w:r>
    </w:p>
    <w:p>
      <w:pPr>
        <w:spacing w:after="0" w:before="0"/>
      </w:pPr>
      <w:r>
        <w:rPr>
          <w:b w:val="0"/>
          <w:sz w:val="22"/>
        </w:rPr>
        <w:t>(b) Administering analgesics</w:t>
      </w:r>
    </w:p>
    <w:p>
      <w:pPr>
        <w:spacing w:after="0" w:before="0"/>
      </w:pPr>
      <w:r>
        <w:rPr>
          <w:b w:val="0"/>
          <w:sz w:val="22"/>
        </w:rPr>
        <w:t>(c) Maintaining a patent airway</w:t>
      </w:r>
    </w:p>
    <w:p>
      <w:pPr>
        <w:spacing w:after="0" w:before="0"/>
      </w:pPr>
      <w:r>
        <w:rPr>
          <w:b w:val="0"/>
          <w:sz w:val="22"/>
        </w:rPr>
        <w:t>(d) Measuring intake and output</w:t>
      </w:r>
    </w:p>
    <w:p>
      <w:pPr>
        <w:spacing w:after="0" w:before="40"/>
      </w:pPr>
      <w:r>
        <w:rPr>
          <w:b/>
          <w:sz w:val="22"/>
        </w:rPr>
        <w:t>Answer: c</w:t>
      </w:r>
    </w:p>
    <w:p>
      <w:pPr>
        <w:spacing w:after="0" w:before="0"/>
      </w:pPr>
      <w:r>
        <w:rPr>
          <w:b w:val="0"/>
          <w:sz w:val="21"/>
        </w:rPr>
        <w:t>Solution: Airway maintenance is the priority in head injury to prevent hypoxia and further brain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newborn remains cyanotic with a heart rate of 60/min after drying and stimulation. What is the priority intervention?</w:t>
      </w:r>
    </w:p>
    <w:p>
      <w:pPr>
        <w:spacing w:after="0" w:before="0"/>
      </w:pPr>
      <w:r>
        <w:rPr>
          <w:b w:val="0"/>
          <w:sz w:val="22"/>
        </w:rPr>
        <w:t>(a) Start chest compressions</w:t>
      </w:r>
    </w:p>
    <w:p>
      <w:pPr>
        <w:spacing w:after="0" w:before="0"/>
      </w:pPr>
      <w:r>
        <w:rPr>
          <w:b w:val="0"/>
          <w:sz w:val="22"/>
        </w:rPr>
        <w:t>(b) Administer IV epinephrine</w:t>
      </w:r>
    </w:p>
    <w:p>
      <w:pPr>
        <w:spacing w:after="0" w:before="0"/>
      </w:pPr>
      <w:r>
        <w:rPr>
          <w:b w:val="0"/>
          <w:sz w:val="22"/>
        </w:rPr>
        <w:t>(c) Begin positive-pressure ventilation</w:t>
      </w:r>
    </w:p>
    <w:p>
      <w:pPr>
        <w:spacing w:after="0" w:before="0"/>
      </w:pPr>
      <w:r>
        <w:rPr>
          <w:b w:val="0"/>
          <w:sz w:val="22"/>
        </w:rPr>
        <w:t>(d) Recheck the heart rate in 30 seconds</w:t>
      </w:r>
    </w:p>
    <w:p>
      <w:pPr>
        <w:spacing w:after="0" w:before="40"/>
      </w:pPr>
      <w:r>
        <w:rPr>
          <w:b/>
          <w:sz w:val="22"/>
        </w:rPr>
        <w:t>Answer: c</w:t>
      </w:r>
    </w:p>
    <w:p>
      <w:pPr>
        <w:spacing w:after="0" w:before="0"/>
      </w:pPr>
      <w:r>
        <w:rPr>
          <w:b w:val="0"/>
          <w:sz w:val="21"/>
        </w:rPr>
        <w:t>Solution: For a heart rate below 100/min after initial steps, positive-pressure ventilation is started immediately; chest compressions begin only if HR stays &lt;60 despite PPV.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 during storage?</w:t>
      </w:r>
    </w:p>
    <w:p>
      <w:pPr>
        <w:spacing w:after="0" w:before="0"/>
      </w:pPr>
      <w:r>
        <w:rPr>
          <w:b w:val="0"/>
          <w:sz w:val="22"/>
        </w:rPr>
        <w:t>(a) DPT / DT</w:t>
      </w:r>
    </w:p>
    <w:p>
      <w:pPr>
        <w:spacing w:after="0" w:before="0"/>
      </w:pPr>
      <w:r>
        <w:rPr>
          <w:b w:val="0"/>
          <w:sz w:val="22"/>
        </w:rPr>
        <w:t>(b) MMR</w:t>
      </w:r>
    </w:p>
    <w:p>
      <w:pPr>
        <w:spacing w:after="0" w:before="0"/>
      </w:pPr>
      <w:r>
        <w:rPr>
          <w:b w:val="0"/>
          <w:sz w:val="22"/>
        </w:rPr>
        <w:t>(c) Polio (OPV)</w:t>
      </w:r>
    </w:p>
    <w:p>
      <w:pPr>
        <w:spacing w:after="0" w:before="0"/>
      </w:pPr>
      <w:r>
        <w:rPr>
          <w:b w:val="0"/>
          <w:sz w:val="22"/>
        </w:rPr>
        <w:t>(d) BCG</w:t>
      </w:r>
    </w:p>
    <w:p>
      <w:pPr>
        <w:spacing w:after="0" w:before="40"/>
      </w:pPr>
      <w:r>
        <w:rPr>
          <w:b/>
          <w:sz w:val="22"/>
        </w:rPr>
        <w:t>Answer: b</w:t>
      </w:r>
    </w:p>
    <w:p>
      <w:pPr>
        <w:spacing w:after="0" w:before="0"/>
      </w:pPr>
      <w:r>
        <w:rPr>
          <w:b w:val="0"/>
          <w:sz w:val="21"/>
        </w:rPr>
        <w:t>Solution: Freeze-dried (lyophilized) vaccines like MMR and Measles can be stored in frozen state (-20°C).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food group serves as the richest dietary source of Folic Acid (Vitamin B9)?</w:t>
      </w:r>
    </w:p>
    <w:p>
      <w:pPr>
        <w:spacing w:after="0" w:before="0"/>
      </w:pPr>
      <w:r>
        <w:rPr>
          <w:b w:val="0"/>
          <w:sz w:val="22"/>
        </w:rPr>
        <w:t>(a) Whole milk</w:t>
      </w:r>
    </w:p>
    <w:p>
      <w:pPr>
        <w:spacing w:after="0" w:before="0"/>
      </w:pPr>
      <w:r>
        <w:rPr>
          <w:b w:val="0"/>
          <w:sz w:val="22"/>
        </w:rPr>
        <w:t>(b) Red meat</w:t>
      </w:r>
    </w:p>
    <w:p>
      <w:pPr>
        <w:spacing w:after="0" w:before="0"/>
      </w:pPr>
      <w:r>
        <w:rPr>
          <w:b w:val="0"/>
          <w:sz w:val="22"/>
        </w:rPr>
        <w:t>(c) Dark green leafy vegetables</w:t>
      </w:r>
    </w:p>
    <w:p>
      <w:pPr>
        <w:spacing w:after="0" w:before="0"/>
      </w:pPr>
      <w:r>
        <w:rPr>
          <w:b w:val="0"/>
          <w:sz w:val="22"/>
        </w:rPr>
        <w:t>(d) Banana</w:t>
      </w:r>
    </w:p>
    <w:p>
      <w:pPr>
        <w:spacing w:after="0" w:before="40"/>
      </w:pPr>
      <w:r>
        <w:rPr>
          <w:b/>
          <w:sz w:val="22"/>
        </w:rPr>
        <w:t>Answer: c</w:t>
      </w:r>
    </w:p>
    <w:p>
      <w:pPr>
        <w:spacing w:after="0" w:before="0"/>
      </w:pPr>
      <w:r>
        <w:rPr>
          <w:b w:val="0"/>
          <w:sz w:val="21"/>
        </w:rPr>
        <w:t>Solution: Dark green leafy vegetables (spinach, kale, broccoli), legumes, and liver are the richest natural sources of Folic Acid (Folate).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w:t>
      </w:r>
    </w:p>
    <w:p>
      <w:pPr>
        <w:spacing w:after="0" w:before="0"/>
      </w:pPr>
      <w:r>
        <w:rPr>
          <w:b w:val="0"/>
          <w:sz w:val="22"/>
        </w:rPr>
        <w:t>(a) BCG</w:t>
      </w:r>
    </w:p>
    <w:p>
      <w:pPr>
        <w:spacing w:after="0" w:before="0"/>
      </w:pPr>
      <w:r>
        <w:rPr>
          <w:b w:val="0"/>
          <w:sz w:val="22"/>
        </w:rPr>
        <w:t>(b) polio</w:t>
      </w:r>
    </w:p>
    <w:p>
      <w:pPr>
        <w:spacing w:after="0" w:before="0"/>
      </w:pPr>
      <w:r>
        <w:rPr>
          <w:b w:val="0"/>
          <w:sz w:val="22"/>
        </w:rPr>
        <w:t>(c) MMR</w:t>
      </w:r>
    </w:p>
    <w:p>
      <w:pPr>
        <w:spacing w:after="0" w:before="0"/>
      </w:pPr>
      <w:r>
        <w:rPr>
          <w:b w:val="0"/>
          <w:sz w:val="22"/>
        </w:rPr>
        <w:t>(d) DPT/DT</w:t>
      </w:r>
    </w:p>
    <w:p>
      <w:pPr>
        <w:spacing w:after="0" w:before="40"/>
      </w:pPr>
      <w:r>
        <w:rPr>
          <w:b/>
          <w:sz w:val="22"/>
        </w:rPr>
        <w:t>Answer: c</w:t>
      </w:r>
    </w:p>
    <w:p>
      <w:pPr>
        <w:spacing w:after="0" w:before="0"/>
      </w:pPr>
      <w:r>
        <w:rPr>
          <w:b w:val="0"/>
          <w:sz w:val="21"/>
        </w:rPr>
        <w:t>Solution: Freeze-dried vaccines such as MMR can be stored frozen, whereas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Your finding emulcificaiton of fat in TPN bag. As a nurse what is your immediate action?</w:t>
      </w:r>
    </w:p>
    <w:p>
      <w:pPr>
        <w:spacing w:after="0" w:before="0"/>
      </w:pPr>
      <w:r>
        <w:rPr>
          <w:b w:val="0"/>
          <w:sz w:val="22"/>
        </w:rPr>
        <w:t>(a) Nothing to do</w:t>
      </w:r>
    </w:p>
    <w:p>
      <w:pPr>
        <w:spacing w:after="0" w:before="0"/>
      </w:pPr>
      <w:r>
        <w:rPr>
          <w:b w:val="0"/>
          <w:sz w:val="22"/>
        </w:rPr>
        <w:t>(b) Rubing the bag</w:t>
      </w:r>
    </w:p>
    <w:p>
      <w:pPr>
        <w:spacing w:after="0" w:before="0"/>
      </w:pPr>
      <w:r>
        <w:rPr>
          <w:b w:val="0"/>
          <w:sz w:val="22"/>
        </w:rPr>
        <w:t>(c) Change the new bag</w:t>
      </w:r>
    </w:p>
    <w:p>
      <w:pPr>
        <w:spacing w:after="0" w:before="0"/>
      </w:pPr>
      <w:r>
        <w:rPr>
          <w:b w:val="0"/>
          <w:sz w:val="22"/>
        </w:rPr>
        <w:t>(d) Administer fast</w:t>
      </w:r>
    </w:p>
    <w:p>
      <w:pPr>
        <w:spacing w:after="0" w:before="40"/>
      </w:pPr>
      <w:r>
        <w:rPr>
          <w:b/>
          <w:sz w:val="22"/>
        </w:rPr>
        <w:t>Answer: c</w:t>
      </w:r>
    </w:p>
    <w:p>
      <w:pPr>
        <w:spacing w:after="0" w:before="0"/>
      </w:pPr>
      <w:r>
        <w:rPr>
          <w:b w:val="0"/>
          <w:sz w:val="21"/>
        </w:rPr>
        <w:t>Solution: Emulsification (separation) of fat in a TPN bag indicates instability of the solution; the bag must be discarded and replaced.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nutrient is found in an average-sized egg?</w:t>
      </w:r>
    </w:p>
    <w:p>
      <w:pPr>
        <w:spacing w:after="0" w:before="0"/>
      </w:pPr>
      <w:r>
        <w:rPr>
          <w:b w:val="0"/>
          <w:sz w:val="22"/>
        </w:rPr>
        <w:t>(a) 25 gm Iron</w:t>
      </w:r>
    </w:p>
    <w:p>
      <w:pPr>
        <w:spacing w:after="0" w:before="0"/>
      </w:pPr>
      <w:r>
        <w:rPr>
          <w:b w:val="0"/>
          <w:sz w:val="22"/>
        </w:rPr>
        <w:t>(b) 6 gm Fat</w:t>
      </w:r>
    </w:p>
    <w:p>
      <w:pPr>
        <w:spacing w:after="0" w:before="0"/>
      </w:pPr>
      <w:r>
        <w:rPr>
          <w:b w:val="0"/>
          <w:sz w:val="22"/>
        </w:rPr>
        <w:t>(c) 80gm Vitamin C</w:t>
      </w:r>
    </w:p>
    <w:p>
      <w:pPr>
        <w:spacing w:after="0" w:before="0"/>
      </w:pPr>
      <w:r>
        <w:rPr>
          <w:b w:val="0"/>
          <w:sz w:val="22"/>
        </w:rPr>
        <w:t>(d) 6 gm Protein</w:t>
      </w:r>
    </w:p>
    <w:p>
      <w:pPr>
        <w:spacing w:after="0" w:before="40"/>
      </w:pPr>
      <w:r>
        <w:rPr>
          <w:b/>
          <w:sz w:val="22"/>
        </w:rPr>
        <w:t>Answer: d</w:t>
      </w:r>
    </w:p>
    <w:p>
      <w:pPr>
        <w:spacing w:after="0" w:before="0"/>
      </w:pPr>
      <w:r>
        <w:rPr>
          <w:b w:val="0"/>
          <w:sz w:val="21"/>
        </w:rPr>
        <w:t>Solution: An average-sized egg contains approximately 6 grams of protein (option B). Eggs are a good source of high-quality protein and are often considered a complete protein because they contain all the essential amino acids in the right proportions. While eggs do contain some fat, the amount varies depending on the size of the egg and the specific yolk-to-white ratio. The diseases carriers (common Hies wat mosquito) Protein vitamin content of an egg, including Vitamin C, is relatively low compared to other nutrients. However, eggs are a good source of several vitamins, including Vitamin A, Vitamin D, Vitamin E, and various B vitamins.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iron-folic acid (IFA) prescribed for pregnant women in the Anaemia Mukht Bharat campaign?</w:t>
      </w:r>
    </w:p>
    <w:p>
      <w:pPr>
        <w:spacing w:after="0" w:before="0"/>
      </w:pPr>
      <w:r>
        <w:rPr>
          <w:b w:val="0"/>
          <w:sz w:val="22"/>
        </w:rPr>
        <w:t>(a) 30 mg 200 mg</w:t>
      </w:r>
    </w:p>
    <w:p>
      <w:pPr>
        <w:spacing w:after="0" w:before="0"/>
      </w:pPr>
      <w:r>
        <w:rPr>
          <w:b w:val="0"/>
          <w:sz w:val="22"/>
        </w:rPr>
        <w:t>(b) 100 mg 250 mg</w:t>
      </w:r>
    </w:p>
    <w:p>
      <w:pPr>
        <w:spacing w:after="0" w:before="0"/>
      </w:pPr>
      <w:r>
        <w:rPr>
          <w:b w:val="0"/>
          <w:sz w:val="22"/>
        </w:rPr>
        <w:t>(c) 20 mg 150 mg</w:t>
      </w:r>
    </w:p>
    <w:p>
      <w:pPr>
        <w:spacing w:after="0" w:before="0"/>
      </w:pPr>
      <w:r>
        <w:rPr>
          <w:b w:val="0"/>
          <w:sz w:val="22"/>
        </w:rPr>
        <w:t>(d) 60 mg 500 mcg</w:t>
      </w:r>
    </w:p>
    <w:p>
      <w:pPr>
        <w:spacing w:after="0" w:before="40"/>
      </w:pPr>
      <w:r>
        <w:rPr>
          <w:b/>
          <w:sz w:val="22"/>
        </w:rPr>
        <w:t>Answer: d</w:t>
      </w:r>
    </w:p>
    <w:p>
      <w:pPr>
        <w:spacing w:after="0" w:before="0"/>
      </w:pPr>
      <w:r>
        <w:rPr>
          <w:b w:val="0"/>
          <w:sz w:val="21"/>
        </w:rPr>
        <w:t>Solution: In the Anaemia Mukht Bharat campaign, the recommended dose of iron-folic acid (IFA) prescribed for pregnant women is 60 mg of elemental iron and 500 mcg of folic acid (option d). Anaemia is a common health issue during pregnancy, and IFA supplementation is an essential intervention to prevent and treat iron deficiency anaemia. The Anaemia Mukht Bharat campaign is a national program in India aimed at combating anaemia among pregnant women. The recommended IFA dose provided through this program ensures adequate iron and folic acid intake, promoting healthy pregnancies and reducing the prevalence of anaemia.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heat sensitive vaccine is:</w:t>
      </w:r>
    </w:p>
    <w:p>
      <w:pPr>
        <w:spacing w:after="0" w:before="0"/>
      </w:pPr>
      <w:r>
        <w:rPr>
          <w:b w:val="0"/>
          <w:sz w:val="22"/>
        </w:rPr>
        <w:t>(a) Measles</w:t>
      </w:r>
    </w:p>
    <w:p>
      <w:pPr>
        <w:spacing w:after="0" w:before="0"/>
      </w:pPr>
      <w:r>
        <w:rPr>
          <w:b w:val="0"/>
          <w:sz w:val="22"/>
        </w:rPr>
        <w:t>(b) DPT</w:t>
      </w:r>
    </w:p>
    <w:p>
      <w:pPr>
        <w:spacing w:after="0" w:before="0"/>
      </w:pPr>
      <w:r>
        <w:rPr>
          <w:b w:val="0"/>
          <w:sz w:val="22"/>
        </w:rPr>
        <w:t>(c) OPV</w:t>
      </w:r>
    </w:p>
    <w:p>
      <w:pPr>
        <w:spacing w:after="0" w:before="0"/>
      </w:pPr>
      <w:r>
        <w:rPr>
          <w:b w:val="0"/>
          <w:sz w:val="22"/>
        </w:rPr>
        <w:t>(d) Hepatitis B</w:t>
      </w:r>
    </w:p>
    <w:p>
      <w:pPr>
        <w:spacing w:after="0" w:before="40"/>
      </w:pPr>
      <w:r>
        <w:rPr>
          <w:b/>
          <w:sz w:val="22"/>
        </w:rPr>
        <w:t>Answer: c</w:t>
      </w:r>
    </w:p>
    <w:p>
      <w:pPr>
        <w:spacing w:after="0" w:before="0"/>
      </w:pPr>
      <w:r>
        <w:rPr>
          <w:b w:val="0"/>
          <w:sz w:val="21"/>
        </w:rPr>
        <w:t>Solution: OPV (oral polio vaccine) is the most heat-sensitive vaccine and must be stored at -20°C.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action when a patient receiving a deferoxamine infusion develops flushing of face, urticaria and hypotension?</w:t>
      </w:r>
    </w:p>
    <w:p>
      <w:pPr>
        <w:spacing w:after="0" w:before="0"/>
      </w:pPr>
      <w:r>
        <w:rPr>
          <w:b w:val="0"/>
          <w:sz w:val="22"/>
        </w:rPr>
        <w:t>(a) Stop the Infusion</w:t>
      </w:r>
    </w:p>
    <w:p>
      <w:pPr>
        <w:spacing w:after="0" w:before="0"/>
      </w:pPr>
      <w:r>
        <w:rPr>
          <w:b w:val="0"/>
          <w:sz w:val="22"/>
        </w:rPr>
        <w:t>(b) Continue the Infusion</w:t>
      </w:r>
    </w:p>
    <w:p>
      <w:pPr>
        <w:spacing w:after="0" w:before="0"/>
      </w:pPr>
      <w:r>
        <w:rPr>
          <w:b w:val="0"/>
          <w:sz w:val="22"/>
        </w:rPr>
        <w:t>(c) Assess the vital signs</w:t>
      </w:r>
    </w:p>
    <w:p>
      <w:pPr>
        <w:spacing w:after="0" w:before="0"/>
      </w:pPr>
      <w:r>
        <w:rPr>
          <w:b w:val="0"/>
          <w:sz w:val="22"/>
        </w:rPr>
        <w:t>(d) Inform to the physician</w:t>
      </w:r>
    </w:p>
    <w:p>
      <w:pPr>
        <w:spacing w:after="0" w:before="40"/>
      </w:pPr>
      <w:r>
        <w:rPr>
          <w:b/>
          <w:sz w:val="22"/>
        </w:rPr>
        <w:t>Answer: a</w:t>
      </w:r>
    </w:p>
    <w:p>
      <w:pPr>
        <w:spacing w:after="0" w:before="0"/>
      </w:pPr>
      <w:r>
        <w:rPr>
          <w:b w:val="0"/>
          <w:sz w:val="21"/>
        </w:rPr>
        <w:t>Solution: The initial nursing action when a patient receiving deferoxamine infusion intravenously experiences flushing of face, urticaria, hypotension, and headache is to stop the infusion. Deferoxamine is an iron-chelating agent that is used in the treatment of iron overload. Adverse reactions such as allergic reactions can occur during the infusion. The nurse should closely monitor the patient during the infusion and stop the infusion immediately if any adverse reactions are observed (Potter, P. A., &amp; Perry, A. G. (2016). Fundamentals of nursing.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used before ECT Procedure?</w:t>
      </w:r>
    </w:p>
    <w:p>
      <w:pPr>
        <w:spacing w:after="0" w:before="0"/>
      </w:pPr>
      <w:r>
        <w:rPr>
          <w:b w:val="0"/>
          <w:sz w:val="22"/>
        </w:rPr>
        <w:t>(a) NPO</w:t>
      </w:r>
    </w:p>
    <w:p>
      <w:pPr>
        <w:spacing w:after="0" w:before="0"/>
      </w:pPr>
      <w:r>
        <w:rPr>
          <w:b w:val="0"/>
          <w:sz w:val="22"/>
        </w:rPr>
        <w:t>(b) Have light meal before the procedure</w:t>
      </w:r>
    </w:p>
    <w:p>
      <w:pPr>
        <w:spacing w:after="0" w:before="0"/>
      </w:pPr>
      <w:r>
        <w:rPr>
          <w:b w:val="0"/>
          <w:sz w:val="22"/>
        </w:rPr>
        <w:t>(c) Premedication with anticholinergic</w:t>
      </w:r>
    </w:p>
    <w:p>
      <w:pPr>
        <w:spacing w:after="0" w:before="0"/>
      </w:pPr>
      <w:r>
        <w:rPr>
          <w:b w:val="0"/>
          <w:sz w:val="22"/>
        </w:rPr>
        <w:t>(d) Wash the oils from hair</w:t>
      </w:r>
    </w:p>
    <w:p>
      <w:pPr>
        <w:spacing w:after="0" w:before="40"/>
      </w:pPr>
      <w:r>
        <w:rPr>
          <w:b/>
          <w:sz w:val="22"/>
        </w:rPr>
        <w:t>Answer: b</w:t>
      </w:r>
    </w:p>
    <w:p>
      <w:pPr>
        <w:spacing w:after="0" w:before="0"/>
      </w:pPr>
      <w:r>
        <w:rPr>
          <w:b w:val="0"/>
          <w:sz w:val="21"/>
        </w:rPr>
        <w:t>Solution: Before the administration of electroconvulsive therapy (ECT), it is not recommended to have a light meal. The reason is that ECT requires the patient to be under general anesthesia, and having a meal prior to the procedure increases the risk of aspiration, where stomach contents can enter the lungs during anesthesia induction. Therefore, it is advised for patients to follow NPO (nothing by mouth) guidelines for a specific duration before ECT to minimize the risk of complications. "The Maudsley Prescribing Guidelines in Psychiatry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cirrhosis becomes confused, drowsy and develops asterixis. Which nursing action has the highest priority?</w:t>
      </w:r>
    </w:p>
    <w:p>
      <w:pPr>
        <w:spacing w:after="0" w:before="0"/>
      </w:pPr>
      <w:r>
        <w:rPr>
          <w:b w:val="0"/>
          <w:sz w:val="22"/>
        </w:rPr>
        <w:t>(a) Restrict dietary protein immediately</w:t>
      </w:r>
    </w:p>
    <w:p>
      <w:pPr>
        <w:spacing w:after="0" w:before="0"/>
      </w:pPr>
      <w:r>
        <w:rPr>
          <w:b w:val="0"/>
          <w:sz w:val="22"/>
        </w:rPr>
        <w:t>(b) Prepare to administer lactulose as ordered</w:t>
      </w:r>
    </w:p>
    <w:p>
      <w:pPr>
        <w:spacing w:after="0" w:before="0"/>
      </w:pPr>
      <w:r>
        <w:rPr>
          <w:b w:val="0"/>
          <w:sz w:val="22"/>
        </w:rPr>
        <w:t>(c) Place the client in the supine position</w:t>
      </w:r>
    </w:p>
    <w:p>
      <w:pPr>
        <w:spacing w:after="0" w:before="0"/>
      </w:pPr>
      <w:r>
        <w:rPr>
          <w:b w:val="0"/>
          <w:sz w:val="22"/>
        </w:rPr>
        <w:t>(d) Increase dietary sodium intake</w:t>
      </w:r>
    </w:p>
    <w:p>
      <w:pPr>
        <w:spacing w:after="0" w:before="40"/>
      </w:pPr>
      <w:r>
        <w:rPr>
          <w:b/>
          <w:sz w:val="22"/>
        </w:rPr>
        <w:t>Answer: b</w:t>
      </w:r>
    </w:p>
    <w:p>
      <w:pPr>
        <w:spacing w:after="0" w:before="0"/>
      </w:pPr>
      <w:r>
        <w:rPr>
          <w:b w:val="0"/>
          <w:sz w:val="21"/>
        </w:rPr>
        <w:t>Solution: Confusion and asterixis indicate hepatic encephalopathy; lactulose reduces serum ammonia (by trapping it in the gut) and is the priority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Give 20-22 breaths then assess for 2 minutes</w:t>
      </w:r>
    </w:p>
    <w:p>
      <w:pPr>
        <w:spacing w:after="0" w:before="0"/>
      </w:pPr>
      <w:r>
        <w:rPr>
          <w:b w:val="0"/>
          <w:sz w:val="22"/>
        </w:rPr>
        <w:t>(b) Inform Physician</w:t>
      </w:r>
    </w:p>
    <w:p>
      <w:pPr>
        <w:spacing w:after="0" w:before="0"/>
      </w:pPr>
      <w:r>
        <w:rPr>
          <w:b w:val="0"/>
          <w:sz w:val="22"/>
        </w:rPr>
        <w:t>(c) Start CPR</w:t>
      </w:r>
    </w:p>
    <w:p>
      <w:pPr>
        <w:spacing w:after="0" w:before="0"/>
      </w:pPr>
      <w:r>
        <w:rPr>
          <w:b w:val="0"/>
          <w:sz w:val="22"/>
        </w:rPr>
        <w:t>(d) Give 10-12 breaths then reassess</w:t>
      </w:r>
    </w:p>
    <w:p>
      <w:pPr>
        <w:spacing w:after="0" w:before="40"/>
      </w:pPr>
      <w:r>
        <w:rPr>
          <w:b/>
          <w:sz w:val="22"/>
        </w:rPr>
        <w:t>Answer: c</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Apply a dry sterile dressing</w:t>
      </w:r>
    </w:p>
    <w:p>
      <w:pPr>
        <w:spacing w:after="0" w:before="0"/>
      </w:pPr>
      <w:r>
        <w:rPr>
          <w:b w:val="0"/>
          <w:sz w:val="22"/>
        </w:rPr>
        <w:t>(b) Cover the wound with sterile saline-soaked dressings</w:t>
      </w:r>
    </w:p>
    <w:p>
      <w:pPr>
        <w:spacing w:after="0" w:before="0"/>
      </w:pPr>
      <w:r>
        <w:rPr>
          <w:b w:val="0"/>
          <w:sz w:val="22"/>
        </w:rPr>
        <w:t>(c) Gently push the bowel back into the abdomen</w:t>
      </w:r>
    </w:p>
    <w:p>
      <w:pPr>
        <w:spacing w:after="0" w:before="0"/>
      </w:pPr>
      <w:r>
        <w:rPr>
          <w:b w:val="0"/>
          <w:sz w:val="22"/>
        </w:rPr>
        <w:t>(d) Place the client flat and wait for the surgeon</w:t>
      </w:r>
    </w:p>
    <w:p>
      <w:pPr>
        <w:spacing w:after="0" w:before="40"/>
      </w:pPr>
      <w:r>
        <w:rPr>
          <w:b/>
          <w:sz w:val="22"/>
        </w:rPr>
        <w:t>Answer: b</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Attach pulse oximetry on right side</w:t>
      </w:r>
    </w:p>
    <w:p>
      <w:pPr>
        <w:spacing w:after="0" w:before="0"/>
      </w:pPr>
      <w:r>
        <w:rPr>
          <w:b w:val="0"/>
          <w:sz w:val="22"/>
        </w:rPr>
        <w:t>(b) Take BP from left side</w:t>
      </w:r>
    </w:p>
    <w:p>
      <w:pPr>
        <w:spacing w:after="0" w:before="0"/>
      </w:pPr>
      <w:r>
        <w:rPr>
          <w:b w:val="0"/>
          <w:sz w:val="22"/>
        </w:rPr>
        <w:t>(c) Take BP from right side</w:t>
      </w:r>
    </w:p>
    <w:p>
      <w:pPr>
        <w:spacing w:after="0" w:before="0"/>
      </w:pPr>
      <w:r>
        <w:rPr>
          <w:b w:val="0"/>
          <w:sz w:val="22"/>
        </w:rPr>
        <w:t>(d) Attach pulse oximetry on left side</w:t>
      </w:r>
    </w:p>
    <w:p>
      <w:pPr>
        <w:spacing w:after="0" w:before="40"/>
      </w:pPr>
      <w:r>
        <w:rPr>
          <w:b/>
          <w:sz w:val="22"/>
        </w:rPr>
        <w:t>Answer: b</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