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The relation between the fetal presenting part and maternal pelvis is known as?</w:t>
      </w:r>
    </w:p>
    <w:p>
      <w:pPr>
        <w:spacing w:after="0" w:before="0"/>
      </w:pPr>
      <w:r>
        <w:rPr>
          <w:b w:val="0"/>
          <w:sz w:val="22"/>
        </w:rPr>
        <w:t>(a) Attitude</w:t>
      </w:r>
    </w:p>
    <w:p>
      <w:pPr>
        <w:spacing w:after="0" w:before="0"/>
      </w:pPr>
      <w:r>
        <w:rPr>
          <w:b w:val="0"/>
          <w:sz w:val="22"/>
        </w:rPr>
        <w:t>(b) Lie</w:t>
      </w:r>
    </w:p>
    <w:p>
      <w:pPr>
        <w:spacing w:after="0" w:before="0"/>
      </w:pPr>
      <w:r>
        <w:rPr>
          <w:b w:val="0"/>
          <w:sz w:val="22"/>
        </w:rPr>
        <w:t>(c) Position</w:t>
      </w:r>
    </w:p>
    <w:p>
      <w:pPr>
        <w:spacing w:after="0" w:before="0"/>
      </w:pPr>
      <w:r>
        <w:rPr>
          <w:b w:val="0"/>
          <w:sz w:val="22"/>
        </w:rPr>
        <w:t>(d) Station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Position is the relationship of an arbitrarily chosen point on the fetal presenting part (e.g., occiput, mentum, sacrum) to the right or left side of the maternal birth canal.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vaccine can be frozen during storage?</w:t>
      </w:r>
    </w:p>
    <w:p>
      <w:pPr>
        <w:spacing w:after="0" w:before="0"/>
      </w:pPr>
      <w:r>
        <w:rPr>
          <w:b w:val="0"/>
          <w:sz w:val="22"/>
        </w:rPr>
        <w:t>(a) BCG</w:t>
      </w:r>
    </w:p>
    <w:p>
      <w:pPr>
        <w:spacing w:after="0" w:before="0"/>
      </w:pPr>
      <w:r>
        <w:rPr>
          <w:b w:val="0"/>
          <w:sz w:val="22"/>
        </w:rPr>
        <w:t>(b) Polio (OPV)</w:t>
      </w:r>
    </w:p>
    <w:p>
      <w:pPr>
        <w:spacing w:after="0" w:before="0"/>
      </w:pPr>
      <w:r>
        <w:rPr>
          <w:b w:val="0"/>
          <w:sz w:val="22"/>
        </w:rPr>
        <w:t>(c) MMR</w:t>
      </w:r>
    </w:p>
    <w:p>
      <w:pPr>
        <w:spacing w:after="0" w:before="0"/>
      </w:pPr>
      <w:r>
        <w:rPr>
          <w:b w:val="0"/>
          <w:sz w:val="22"/>
        </w:rPr>
        <w:t>(d) DPT / DT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Freeze-dried (lyophilized) vaccines like MMR and Measles can be stored in frozen state (-20°C). Liquid vaccines containing adjuvants (DPT, TT, Hepatitis B) must never be frozen.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vaccine given intradermally forms a blister, heals by itself, and leaves a permanent scar?</w:t>
      </w:r>
    </w:p>
    <w:p>
      <w:pPr>
        <w:spacing w:after="0" w:before="0"/>
      </w:pPr>
      <w:r>
        <w:rPr>
          <w:b w:val="0"/>
          <w:sz w:val="22"/>
        </w:rPr>
        <w:t>(a) BCG</w:t>
      </w:r>
    </w:p>
    <w:p>
      <w:pPr>
        <w:spacing w:after="0" w:before="0"/>
      </w:pPr>
      <w:r>
        <w:rPr>
          <w:b w:val="0"/>
          <w:sz w:val="22"/>
        </w:rPr>
        <w:t>(b) MMR</w:t>
      </w:r>
    </w:p>
    <w:p>
      <w:pPr>
        <w:spacing w:after="0" w:before="0"/>
      </w:pPr>
      <w:r>
        <w:rPr>
          <w:b w:val="0"/>
          <w:sz w:val="22"/>
        </w:rPr>
        <w:t>(c) DPT/DT</w:t>
      </w:r>
    </w:p>
    <w:p>
      <w:pPr>
        <w:spacing w:after="0" w:before="0"/>
      </w:pPr>
      <w:r>
        <w:rPr>
          <w:b w:val="0"/>
          <w:sz w:val="22"/>
        </w:rPr>
        <w:t>(d) Polio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BCG vaccine administered intradermally at birth forms a papule after 2–3 weeks, converts into a vesicle/ulcer, and heals spontaneously leaving a permanent scar at 6–12 weeks.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Identify the obstetrical conjugate distance measured clinically during pelvic assessment</w:t>
      </w:r>
    </w:p>
    <w:p>
      <w:pPr>
        <w:spacing w:after="0" w:before="0"/>
      </w:pPr>
      <w:r>
        <w:rPr>
          <w:b w:val="0"/>
          <w:sz w:val="22"/>
        </w:rPr>
        <w:t>(a) Obstetric conjugate</w:t>
      </w:r>
    </w:p>
    <w:p>
      <w:pPr>
        <w:spacing w:after="0" w:before="0"/>
      </w:pPr>
      <w:r>
        <w:rPr>
          <w:b w:val="0"/>
          <w:sz w:val="22"/>
        </w:rPr>
        <w:t>(b) Diagonal conjugate</w:t>
      </w:r>
    </w:p>
    <w:p>
      <w:pPr>
        <w:spacing w:after="0" w:before="0"/>
      </w:pPr>
      <w:r>
        <w:rPr>
          <w:b w:val="0"/>
          <w:sz w:val="22"/>
        </w:rPr>
        <w:t>(c) True conjugate</w:t>
      </w:r>
    </w:p>
    <w:p>
      <w:pPr>
        <w:spacing w:after="0" w:before="0"/>
      </w:pPr>
      <w:r>
        <w:rPr>
          <w:b w:val="0"/>
          <w:sz w:val="22"/>
        </w:rPr>
        <w:t>(d) External conjugate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Obstetric conjugate is the shortest anteroposterior diameter of the pelvic inlet through which the fetal head must pass (normal ~10.5 cm).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post-LSCS woman produces 400 ml of urine in the past 24 hours. What is this condition termed?</w:t>
      </w:r>
    </w:p>
    <w:p>
      <w:pPr>
        <w:spacing w:after="0" w:before="0"/>
      </w:pPr>
      <w:r>
        <w:rPr>
          <w:b w:val="0"/>
          <w:sz w:val="22"/>
        </w:rPr>
        <w:t>(a) Oliguria</w:t>
      </w:r>
    </w:p>
    <w:p>
      <w:pPr>
        <w:spacing w:after="0" w:before="0"/>
      </w:pPr>
      <w:r>
        <w:rPr>
          <w:b w:val="0"/>
          <w:sz w:val="22"/>
        </w:rPr>
        <w:t>(b) Polyuria</w:t>
      </w:r>
    </w:p>
    <w:p>
      <w:pPr>
        <w:spacing w:after="0" w:before="0"/>
      </w:pPr>
      <w:r>
        <w:rPr>
          <w:b w:val="0"/>
          <w:sz w:val="22"/>
        </w:rPr>
        <w:t>(c) Anuria</w:t>
      </w:r>
    </w:p>
    <w:p>
      <w:pPr>
        <w:spacing w:after="0" w:before="0"/>
      </w:pPr>
      <w:r>
        <w:rPr>
          <w:b w:val="0"/>
          <w:sz w:val="22"/>
        </w:rPr>
        <w:t>(d) Hematuria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Oliguria is defined as 24-hour urine output less than 400 mL in adults (or &lt;0.5 mL/kg/hr).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Red-orange discoloration of urine is caused by which anti-tubercular drug?</w:t>
      </w:r>
    </w:p>
    <w:p>
      <w:pPr>
        <w:spacing w:after="0" w:before="0"/>
      </w:pPr>
      <w:r>
        <w:rPr>
          <w:b w:val="0"/>
          <w:sz w:val="22"/>
        </w:rPr>
        <w:t>(a) Isoniazid</w:t>
      </w:r>
    </w:p>
    <w:p>
      <w:pPr>
        <w:spacing w:after="0" w:before="0"/>
      </w:pPr>
      <w:r>
        <w:rPr>
          <w:b w:val="0"/>
          <w:sz w:val="22"/>
        </w:rPr>
        <w:t>(b) Rifampicin</w:t>
      </w:r>
    </w:p>
    <w:p>
      <w:pPr>
        <w:spacing w:after="0" w:before="0"/>
      </w:pPr>
      <w:r>
        <w:rPr>
          <w:b w:val="0"/>
          <w:sz w:val="22"/>
        </w:rPr>
        <w:t>(c) Streptomycin</w:t>
      </w:r>
    </w:p>
    <w:p>
      <w:pPr>
        <w:spacing w:after="0" w:before="0"/>
      </w:pPr>
      <w:r>
        <w:rPr>
          <w:b w:val="0"/>
          <w:sz w:val="22"/>
        </w:rPr>
        <w:t>(d) Ethambutol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Rifampicin causes harmless reddish-orange discoloration of urine, sweat, tears, and saliva. Patients should be counseled about this side effect beforehand.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Visualization of bone or muscle involvement occurs in which stage of burn injury?</w:t>
      </w:r>
    </w:p>
    <w:p>
      <w:pPr>
        <w:spacing w:after="0" w:before="0"/>
      </w:pPr>
      <w:r>
        <w:rPr>
          <w:b w:val="0"/>
          <w:sz w:val="22"/>
        </w:rPr>
        <w:t>(a) 1st stage</w:t>
      </w:r>
    </w:p>
    <w:p>
      <w:pPr>
        <w:spacing w:after="0" w:before="0"/>
      </w:pPr>
      <w:r>
        <w:rPr>
          <w:b w:val="0"/>
          <w:sz w:val="22"/>
        </w:rPr>
        <w:t>(b) 2nd stage</w:t>
      </w:r>
    </w:p>
    <w:p>
      <w:pPr>
        <w:spacing w:after="0" w:before="0"/>
      </w:pPr>
      <w:r>
        <w:rPr>
          <w:b w:val="0"/>
          <w:sz w:val="22"/>
        </w:rPr>
        <w:t>(c) 3rd stage</w:t>
      </w:r>
    </w:p>
    <w:p>
      <w:pPr>
        <w:spacing w:after="0" w:before="0"/>
      </w:pPr>
      <w:r>
        <w:rPr>
          <w:b w:val="0"/>
          <w:sz w:val="22"/>
        </w:rPr>
        <w:t>(d) 4th stage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Fourth-degree burns extend beyond skin into underlying subcutaneous tissue, muscle, fascia, and exposed bone.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Identify the correct procedure performed for arterial blood gas (ABG) sampling</w:t>
      </w:r>
    </w:p>
    <w:p>
      <w:pPr>
        <w:spacing w:after="0" w:before="0"/>
      </w:pPr>
      <w:r>
        <w:rPr>
          <w:b w:val="0"/>
          <w:sz w:val="22"/>
        </w:rPr>
        <w:t>(a) Blood sampling for ABG analysis</w:t>
      </w:r>
    </w:p>
    <w:p>
      <w:pPr>
        <w:spacing w:after="0" w:before="0"/>
      </w:pPr>
      <w:r>
        <w:rPr>
          <w:b w:val="0"/>
          <w:sz w:val="22"/>
        </w:rPr>
        <w:t>(b) IV Drug Administration</w:t>
      </w:r>
    </w:p>
    <w:p>
      <w:pPr>
        <w:spacing w:after="0" w:before="0"/>
      </w:pPr>
      <w:r>
        <w:rPr>
          <w:b w:val="0"/>
          <w:sz w:val="22"/>
        </w:rPr>
        <w:t>(c) Venipuncture</w:t>
      </w:r>
    </w:p>
    <w:p>
      <w:pPr>
        <w:spacing w:after="0" w:before="0"/>
      </w:pPr>
      <w:r>
        <w:rPr>
          <w:b w:val="0"/>
          <w:sz w:val="22"/>
        </w:rPr>
        <w:t>(d) Central line insertion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ABG sampling is performed primarily from the radial artery to evaluate acid-base balance, PaO2, and PaCO2.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Doyen or Deaver retractor is primarily used in which type of major surgery?</w:t>
      </w:r>
    </w:p>
    <w:p>
      <w:pPr>
        <w:spacing w:after="0" w:before="0"/>
      </w:pPr>
      <w:r>
        <w:rPr>
          <w:b w:val="0"/>
          <w:sz w:val="22"/>
        </w:rPr>
        <w:t>(a) Thyroidectomy</w:t>
      </w:r>
    </w:p>
    <w:p>
      <w:pPr>
        <w:spacing w:after="0" w:before="0"/>
      </w:pPr>
      <w:r>
        <w:rPr>
          <w:b w:val="0"/>
          <w:sz w:val="22"/>
        </w:rPr>
        <w:t>(b) Ophthalmic surgeries</w:t>
      </w:r>
    </w:p>
    <w:p>
      <w:pPr>
        <w:spacing w:after="0" w:before="0"/>
      </w:pPr>
      <w:r>
        <w:rPr>
          <w:b w:val="0"/>
          <w:sz w:val="22"/>
        </w:rPr>
        <w:t>(c) LSCS (Cesarean Section)</w:t>
      </w:r>
    </w:p>
    <w:p>
      <w:pPr>
        <w:spacing w:after="0" w:before="0"/>
      </w:pPr>
      <w:r>
        <w:rPr>
          <w:b w:val="0"/>
          <w:sz w:val="22"/>
        </w:rPr>
        <w:t>(d) Orthopedic surgeries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Doyen retractor is an abdominal retractor specifically designed for deep pelvic exposure during Cesarean sections (LSCS).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Identify the standard color of IV cannula used in pediatric patients (24 Gauge)</w:t>
      </w:r>
    </w:p>
    <w:p>
      <w:pPr>
        <w:spacing w:after="0" w:before="0"/>
      </w:pPr>
      <w:r>
        <w:rPr>
          <w:b w:val="0"/>
          <w:sz w:val="22"/>
        </w:rPr>
        <w:t>(a) Yellow</w:t>
      </w:r>
    </w:p>
    <w:p>
      <w:pPr>
        <w:spacing w:after="0" w:before="0"/>
      </w:pPr>
      <w:r>
        <w:rPr>
          <w:b w:val="0"/>
          <w:sz w:val="22"/>
        </w:rPr>
        <w:t>(b) Orange</w:t>
      </w:r>
    </w:p>
    <w:p>
      <w:pPr>
        <w:spacing w:after="0" w:before="0"/>
      </w:pPr>
      <w:r>
        <w:rPr>
          <w:b w:val="0"/>
          <w:sz w:val="22"/>
        </w:rPr>
        <w:t>(c) Grey</w:t>
      </w:r>
    </w:p>
    <w:p>
      <w:pPr>
        <w:spacing w:after="0" w:before="0"/>
      </w:pPr>
      <w:r>
        <w:rPr>
          <w:b w:val="0"/>
          <w:sz w:val="22"/>
        </w:rPr>
        <w:t>(d) Green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Yellow IV cannula is 24 Gauge (flow rate ~13 mL/min), specifically recommended for pediatric patients and fragile neonates.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Identify the standard size (gauge) of green color IV cannula</w:t>
      </w:r>
    </w:p>
    <w:p>
      <w:pPr>
        <w:spacing w:after="0" w:before="0"/>
      </w:pPr>
      <w:r>
        <w:rPr>
          <w:b w:val="0"/>
          <w:sz w:val="22"/>
        </w:rPr>
        <w:t>(a) 14 G</w:t>
      </w:r>
    </w:p>
    <w:p>
      <w:pPr>
        <w:spacing w:after="0" w:before="0"/>
      </w:pPr>
      <w:r>
        <w:rPr>
          <w:b w:val="0"/>
          <w:sz w:val="22"/>
        </w:rPr>
        <w:t>(b) 16 G</w:t>
      </w:r>
    </w:p>
    <w:p>
      <w:pPr>
        <w:spacing w:after="0" w:before="0"/>
      </w:pPr>
      <w:r>
        <w:rPr>
          <w:b w:val="0"/>
          <w:sz w:val="22"/>
        </w:rPr>
        <w:t>(c) 18 G</w:t>
      </w:r>
    </w:p>
    <w:p>
      <w:pPr>
        <w:spacing w:after="0" w:before="0"/>
      </w:pPr>
      <w:r>
        <w:rPr>
          <w:b w:val="0"/>
          <w:sz w:val="22"/>
        </w:rPr>
        <w:t>(d) 20 G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18 Gauge IV cannula is color-coded Green and is used for rapid blood transfusions, trauma, and major surgical procedures.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immediate priority nursing action following a needle stick injury from a HIV-positive patient?</w:t>
      </w:r>
    </w:p>
    <w:p>
      <w:pPr>
        <w:spacing w:after="0" w:before="0"/>
      </w:pPr>
      <w:r>
        <w:rPr>
          <w:b w:val="0"/>
          <w:sz w:val="22"/>
        </w:rPr>
        <w:t>(a) Give incision to the injury</w:t>
      </w:r>
    </w:p>
    <w:p>
      <w:pPr>
        <w:spacing w:after="0" w:before="0"/>
      </w:pPr>
      <w:r>
        <w:rPr>
          <w:b w:val="0"/>
          <w:sz w:val="22"/>
        </w:rPr>
        <w:t>(b) Suck out the blood</w:t>
      </w:r>
    </w:p>
    <w:p>
      <w:pPr>
        <w:spacing w:after="0" w:before="0"/>
      </w:pPr>
      <w:r>
        <w:rPr>
          <w:b w:val="0"/>
          <w:sz w:val="22"/>
        </w:rPr>
        <w:t>(c) Squeeze out the blood forcefully</w:t>
      </w:r>
    </w:p>
    <w:p>
      <w:pPr>
        <w:spacing w:after="0" w:before="0"/>
      </w:pPr>
      <w:r>
        <w:rPr>
          <w:b w:val="0"/>
          <w:sz w:val="22"/>
        </w:rPr>
        <w:t>(d) Wash immediately with soap and running water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Immediate management of occupational exposure involves washing the affected site thoroughly with soap and running water. Do not scrub or squeeze the wound.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28-year-old primigravida attends the ANC OPD. How many additional kilocalories per day are recommended during pregnancy?</w:t>
      </w:r>
    </w:p>
    <w:p>
      <w:pPr>
        <w:spacing w:after="0" w:before="0"/>
      </w:pPr>
      <w:r>
        <w:rPr>
          <w:b w:val="0"/>
          <w:sz w:val="22"/>
        </w:rPr>
        <w:t>(a) 200 kcal</w:t>
      </w:r>
    </w:p>
    <w:p>
      <w:pPr>
        <w:spacing w:after="0" w:before="0"/>
      </w:pPr>
      <w:r>
        <w:rPr>
          <w:b w:val="0"/>
          <w:sz w:val="22"/>
        </w:rPr>
        <w:t>(b) 300 kcal</w:t>
      </w:r>
    </w:p>
    <w:p>
      <w:pPr>
        <w:spacing w:after="0" w:before="0"/>
      </w:pPr>
      <w:r>
        <w:rPr>
          <w:b w:val="0"/>
          <w:sz w:val="22"/>
        </w:rPr>
        <w:t>(c) 500 kcal</w:t>
      </w:r>
    </w:p>
    <w:p>
      <w:pPr>
        <w:spacing w:after="0" w:before="0"/>
      </w:pPr>
      <w:r>
        <w:rPr>
          <w:b w:val="0"/>
          <w:sz w:val="22"/>
        </w:rPr>
        <w:t>(d) 1000 kcal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ICMR guidelines recommend an additional energy intake of +350 kcal/day (approx 300 kcal) during pregnancy to support fetal growth and maternal tissue development.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is the most appropriate nursing action for a patient diagnosed with bipolar affective disorder presenting with mania?</w:t>
      </w:r>
    </w:p>
    <w:p>
      <w:pPr>
        <w:spacing w:after="0" w:before="0"/>
      </w:pPr>
      <w:r>
        <w:rPr>
          <w:b w:val="0"/>
          <w:sz w:val="22"/>
        </w:rPr>
        <w:t>(a) Use physical restraints immediately</w:t>
      </w:r>
    </w:p>
    <w:p>
      <w:pPr>
        <w:spacing w:after="0" w:before="0"/>
      </w:pPr>
      <w:r>
        <w:rPr>
          <w:b w:val="0"/>
          <w:sz w:val="22"/>
        </w:rPr>
        <w:t>(b) Establish clear, consistent rules and boundaries</w:t>
      </w:r>
    </w:p>
    <w:p>
      <w:pPr>
        <w:spacing w:after="0" w:before="0"/>
      </w:pPr>
      <w:r>
        <w:rPr>
          <w:b w:val="0"/>
          <w:sz w:val="22"/>
        </w:rPr>
        <w:t>(c) Use chemical restraints</w:t>
      </w:r>
    </w:p>
    <w:p>
      <w:pPr>
        <w:spacing w:after="0" w:before="0"/>
      </w:pPr>
      <w:r>
        <w:rPr>
          <w:b w:val="0"/>
          <w:sz w:val="22"/>
        </w:rPr>
        <w:t>(d) Administer ECT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Manic patients require firm, calm, clear boundaries and limits on inappropriate behavior to reduce external stimulation and provide environmental structure.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pelvic shape has the poorest prognosis for normal vaginal delivery?</w:t>
      </w:r>
    </w:p>
    <w:p>
      <w:pPr>
        <w:spacing w:after="0" w:before="0"/>
      </w:pPr>
      <w:r>
        <w:rPr>
          <w:b w:val="0"/>
          <w:sz w:val="22"/>
        </w:rPr>
        <w:t>(a) Android</w:t>
      </w:r>
    </w:p>
    <w:p>
      <w:pPr>
        <w:spacing w:after="0" w:before="0"/>
      </w:pPr>
      <w:r>
        <w:rPr>
          <w:b w:val="0"/>
          <w:sz w:val="22"/>
        </w:rPr>
        <w:t>(b) Gynecoid</w:t>
      </w:r>
    </w:p>
    <w:p>
      <w:pPr>
        <w:spacing w:after="0" w:before="0"/>
      </w:pPr>
      <w:r>
        <w:rPr>
          <w:b w:val="0"/>
          <w:sz w:val="22"/>
        </w:rPr>
        <w:t>(c) Platypelloid</w:t>
      </w:r>
    </w:p>
    <w:p>
      <w:pPr>
        <w:spacing w:after="0" w:before="0"/>
      </w:pPr>
      <w:r>
        <w:rPr>
          <w:b w:val="0"/>
          <w:sz w:val="22"/>
        </w:rPr>
        <w:t>(d) Anthropoid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Android pelvis (heart-shaped inlet, narrow subpubic arch) is typical of males and presents high risk of deep transverse arrest and obstructed labor.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drug is administered sublingually to relieve acute angina pectoris pain?</w:t>
      </w:r>
    </w:p>
    <w:p>
      <w:pPr>
        <w:spacing w:after="0" w:before="0"/>
      </w:pPr>
      <w:r>
        <w:rPr>
          <w:b w:val="0"/>
          <w:sz w:val="22"/>
        </w:rPr>
        <w:t>(a) Nitroglycerin</w:t>
      </w:r>
    </w:p>
    <w:p>
      <w:pPr>
        <w:spacing w:after="0" w:before="0"/>
      </w:pPr>
      <w:r>
        <w:rPr>
          <w:b w:val="0"/>
          <w:sz w:val="22"/>
        </w:rPr>
        <w:t>(b) Aspirin</w:t>
      </w:r>
    </w:p>
    <w:p>
      <w:pPr>
        <w:spacing w:after="0" w:before="0"/>
      </w:pPr>
      <w:r>
        <w:rPr>
          <w:b w:val="0"/>
          <w:sz w:val="22"/>
        </w:rPr>
        <w:t>(c) Atenolol</w:t>
      </w:r>
    </w:p>
    <w:p>
      <w:pPr>
        <w:spacing w:after="0" w:before="0"/>
      </w:pPr>
      <w:r>
        <w:rPr>
          <w:b w:val="0"/>
          <w:sz w:val="22"/>
        </w:rPr>
        <w:t>(d) Warfarin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Sublingual Nitroglycerin acts rapidly as a coronary vasodilator to decrease myocardial oxygen demand and relieve acute anginal pain.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does the surgical medical term 'Gossypiboma' refer to?</w:t>
      </w:r>
    </w:p>
    <w:p>
      <w:pPr>
        <w:spacing w:after="0" w:before="0"/>
      </w:pPr>
      <w:r>
        <w:rPr>
          <w:b w:val="0"/>
          <w:sz w:val="22"/>
        </w:rPr>
        <w:t>(a) Tumor in head</w:t>
      </w:r>
    </w:p>
    <w:p>
      <w:pPr>
        <w:spacing w:after="0" w:before="0"/>
      </w:pPr>
      <w:r>
        <w:rPr>
          <w:b w:val="0"/>
          <w:sz w:val="22"/>
        </w:rPr>
        <w:t>(b) Tumor in abdomen</w:t>
      </w:r>
    </w:p>
    <w:p>
      <w:pPr>
        <w:spacing w:after="0" w:before="0"/>
      </w:pPr>
      <w:r>
        <w:rPr>
          <w:b w:val="0"/>
          <w:sz w:val="22"/>
        </w:rPr>
        <w:t>(c) Foreign cotton sponge left accidentally inside body during surgery</w:t>
      </w:r>
    </w:p>
    <w:p>
      <w:pPr>
        <w:spacing w:after="0" w:before="0"/>
      </w:pPr>
      <w:r>
        <w:rPr>
          <w:b w:val="0"/>
          <w:sz w:val="22"/>
        </w:rPr>
        <w:t>(d) Accidental nerve injury during operation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Gossypiboma (retained surgical sponge/textiloma) is a mass formed around a cotton sponge or gauze retained accidentally inside a patient's body after surgery.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pregnant lady presents with umbilical cord prolapse. What is the immediate priority nursing intervention?</w:t>
      </w:r>
    </w:p>
    <w:p>
      <w:pPr>
        <w:spacing w:after="0" w:before="0"/>
      </w:pPr>
      <w:r>
        <w:rPr>
          <w:b w:val="0"/>
          <w:sz w:val="22"/>
        </w:rPr>
        <w:t>(a) Place the patient in Trendelenburg or Knee-Chest position</w:t>
      </w:r>
    </w:p>
    <w:p>
      <w:pPr>
        <w:spacing w:after="0" w:before="0"/>
      </w:pPr>
      <w:r>
        <w:rPr>
          <w:b w:val="0"/>
          <w:sz w:val="22"/>
        </w:rPr>
        <w:t>(b) Give reverse Trendelenburg position</w:t>
      </w:r>
    </w:p>
    <w:p>
      <w:pPr>
        <w:spacing w:after="0" w:before="0"/>
      </w:pPr>
      <w:r>
        <w:rPr>
          <w:b w:val="0"/>
          <w:sz w:val="22"/>
        </w:rPr>
        <w:t>(c) Inform healthcare provider and wait</w:t>
      </w:r>
    </w:p>
    <w:p>
      <w:pPr>
        <w:spacing w:after="0" w:before="0"/>
      </w:pPr>
      <w:r>
        <w:rPr>
          <w:b w:val="0"/>
          <w:sz w:val="22"/>
        </w:rPr>
        <w:t>(d) Gently push the cord back into the uterus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Positioning the mother in Trendelenburg or Knee-Chest position uses gravity to relieve fetal presenting part pressure on the prolapsed umbilical cord, preventing fetal hypoxia.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Calculate the Cerebral Perfusion Pressure (CPP) if Mean Arterial Pressure (MAP) is 70 mmHg and ICP is 18 mmHg</w:t>
      </w:r>
    </w:p>
    <w:p>
      <w:pPr>
        <w:spacing w:after="0" w:before="0"/>
      </w:pPr>
      <w:r>
        <w:rPr>
          <w:b w:val="0"/>
          <w:sz w:val="22"/>
        </w:rPr>
        <w:t>(a) 48 mmHg</w:t>
      </w:r>
    </w:p>
    <w:p>
      <w:pPr>
        <w:spacing w:after="0" w:before="0"/>
      </w:pPr>
      <w:r>
        <w:rPr>
          <w:b w:val="0"/>
          <w:sz w:val="22"/>
        </w:rPr>
        <w:t>(b) 65 mmHg</w:t>
      </w:r>
    </w:p>
    <w:p>
      <w:pPr>
        <w:spacing w:after="0" w:before="0"/>
      </w:pPr>
      <w:r>
        <w:rPr>
          <w:b w:val="0"/>
          <w:sz w:val="22"/>
        </w:rPr>
        <w:t>(c) 52 mmHg</w:t>
      </w:r>
    </w:p>
    <w:p>
      <w:pPr>
        <w:spacing w:after="0" w:before="0"/>
      </w:pPr>
      <w:r>
        <w:rPr>
          <w:b w:val="0"/>
          <w:sz w:val="22"/>
        </w:rPr>
        <w:t>(d) 30 mmHg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Formula: CPP = MAP - ICP. Given MAP = 70 mmHg, ICP = 18 mmHg. CPP = 70 - 18 = 52 mmHg (Normal CPP: 60-100 mmHg).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After removing a used Nasogastric (NG) tube, in which color-coded biomedical waste bin should it be discarded?</w:t>
      </w:r>
    </w:p>
    <w:p>
      <w:pPr>
        <w:spacing w:after="0" w:before="0"/>
      </w:pPr>
      <w:r>
        <w:rPr>
          <w:b w:val="0"/>
          <w:sz w:val="22"/>
        </w:rPr>
        <w:t>(a) Yellow</w:t>
      </w:r>
    </w:p>
    <w:p>
      <w:pPr>
        <w:spacing w:after="0" w:before="0"/>
      </w:pPr>
      <w:r>
        <w:rPr>
          <w:b w:val="0"/>
          <w:sz w:val="22"/>
        </w:rPr>
        <w:t>(b) Red</w:t>
      </w:r>
    </w:p>
    <w:p>
      <w:pPr>
        <w:spacing w:after="0" w:before="0"/>
      </w:pPr>
      <w:r>
        <w:rPr>
          <w:b w:val="0"/>
          <w:sz w:val="22"/>
        </w:rPr>
        <w:t>(c) Black</w:t>
      </w:r>
    </w:p>
    <w:p>
      <w:pPr>
        <w:spacing w:after="0" w:before="0"/>
      </w:pPr>
      <w:r>
        <w:rPr>
          <w:b w:val="0"/>
          <w:sz w:val="22"/>
        </w:rPr>
        <w:t>(d) Blue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Contaminated rubber and plastic flexible tubing, catheters, IV bottles, and gloves are discarded in the RED biomedical waste bin for recycling.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