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When administering IV Mannitol (osmotic diuretic), what is the primary nursing monitoring responsibility?</w:t>
      </w:r>
    </w:p>
    <w:p>
      <w:pPr>
        <w:spacing w:after="0" w:before="0"/>
      </w:pPr>
      <w:r>
        <w:rPr>
          <w:b w:val="0"/>
          <w:sz w:val="22"/>
        </w:rPr>
        <w:t>(a) Monitor therapeutic blood levels</w:t>
      </w:r>
    </w:p>
    <w:p>
      <w:pPr>
        <w:spacing w:after="0" w:before="0"/>
      </w:pPr>
      <w:r>
        <w:rPr>
          <w:b w:val="0"/>
          <w:sz w:val="22"/>
        </w:rPr>
        <w:t>(b) Monitor hourly urine output and serum osmolality</w:t>
      </w:r>
    </w:p>
    <w:p>
      <w:pPr>
        <w:spacing w:after="0" w:before="0"/>
      </w:pPr>
      <w:r>
        <w:rPr>
          <w:b w:val="0"/>
          <w:sz w:val="22"/>
        </w:rPr>
        <w:t>(c) Patient ambulation safety</w:t>
      </w:r>
    </w:p>
    <w:p>
      <w:pPr>
        <w:spacing w:after="0" w:before="0"/>
      </w:pPr>
      <w:r>
        <w:rPr>
          <w:b w:val="0"/>
          <w:sz w:val="22"/>
        </w:rPr>
        <w:t>(d) Dietary intake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Mannitol promotes osmotic diuresis; monitoring hourly urine output, fluid intake, blood pressure, and renal function is vital to prevent dehydration.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During IV Potassium Chloride (KCl) correction, which ECG change indicates hyperkalemia requiring immediate stoppage of infusion?</w:t>
      </w:r>
    </w:p>
    <w:p>
      <w:pPr>
        <w:spacing w:after="0" w:before="0"/>
      </w:pPr>
      <w:r>
        <w:rPr>
          <w:b w:val="0"/>
          <w:sz w:val="22"/>
        </w:rPr>
        <w:t>(a) Prominent U wave</w:t>
      </w:r>
    </w:p>
    <w:p>
      <w:pPr>
        <w:spacing w:after="0" w:before="0"/>
      </w:pPr>
      <w:r>
        <w:rPr>
          <w:b w:val="0"/>
          <w:sz w:val="22"/>
        </w:rPr>
        <w:t>(b) Tall peaked T waves</w:t>
      </w:r>
    </w:p>
    <w:p>
      <w:pPr>
        <w:spacing w:after="0" w:before="0"/>
      </w:pPr>
      <w:r>
        <w:rPr>
          <w:b w:val="0"/>
          <w:sz w:val="22"/>
        </w:rPr>
        <w:t>(c) Depressed ST segment</w:t>
      </w:r>
    </w:p>
    <w:p>
      <w:pPr>
        <w:spacing w:after="0" w:before="0"/>
      </w:pPr>
      <w:r>
        <w:rPr>
          <w:b w:val="0"/>
          <w:sz w:val="22"/>
        </w:rPr>
        <w:t>(d) Shallow inverted T wave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Tall peaked T waves are the earliest ECG sign of hyperkalemia. Immediate cessation of IV potassium infusion is required to avoid lethal dysrhythmias.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patient receiving IV fluid therapy, swelling, coolness, and pallor around the insertion site indicates</w:t>
      </w:r>
    </w:p>
    <w:p>
      <w:pPr>
        <w:spacing w:after="0" w:before="0"/>
      </w:pPr>
      <w:r>
        <w:rPr>
          <w:b w:val="0"/>
          <w:sz w:val="22"/>
        </w:rPr>
        <w:t>(a) Infection</w:t>
      </w:r>
    </w:p>
    <w:p>
      <w:pPr>
        <w:spacing w:after="0" w:before="0"/>
      </w:pPr>
      <w:r>
        <w:rPr>
          <w:b w:val="0"/>
          <w:sz w:val="22"/>
        </w:rPr>
        <w:t>(b) Fluid overload</w:t>
      </w:r>
    </w:p>
    <w:p>
      <w:pPr>
        <w:spacing w:after="0" w:before="0"/>
      </w:pPr>
      <w:r>
        <w:rPr>
          <w:b w:val="0"/>
          <w:sz w:val="22"/>
        </w:rPr>
        <w:t>(c) Infiltration</w:t>
      </w:r>
    </w:p>
    <w:p>
      <w:pPr>
        <w:spacing w:after="0" w:before="0"/>
      </w:pPr>
      <w:r>
        <w:rPr>
          <w:b w:val="0"/>
          <w:sz w:val="22"/>
        </w:rPr>
        <w:t>(d) Phlebitis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Infiltration occurs when IV fluid leaks into surrounding subcutaneous tissue, causing localized edema, coolness, tightness, and blanching.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Pain, warmth, erythema (redness), and a palpable venous cord along the IV catheter site indicates</w:t>
      </w:r>
    </w:p>
    <w:p>
      <w:pPr>
        <w:spacing w:after="0" w:before="0"/>
      </w:pPr>
      <w:r>
        <w:rPr>
          <w:b w:val="0"/>
          <w:sz w:val="22"/>
        </w:rPr>
        <w:t>(a) Infiltration</w:t>
      </w:r>
    </w:p>
    <w:p>
      <w:pPr>
        <w:spacing w:after="0" w:before="0"/>
      </w:pPr>
      <w:r>
        <w:rPr>
          <w:b w:val="0"/>
          <w:sz w:val="22"/>
        </w:rPr>
        <w:t>(b) Phlebitis</w:t>
      </w:r>
    </w:p>
    <w:p>
      <w:pPr>
        <w:spacing w:after="0" w:before="0"/>
      </w:pPr>
      <w:r>
        <w:rPr>
          <w:b w:val="0"/>
          <w:sz w:val="22"/>
        </w:rPr>
        <w:t>(c) Extravasation</w:t>
      </w:r>
    </w:p>
    <w:p>
      <w:pPr>
        <w:spacing w:after="0" w:before="0"/>
      </w:pPr>
      <w:r>
        <w:rPr>
          <w:b w:val="0"/>
          <w:sz w:val="22"/>
        </w:rPr>
        <w:t>(d) Hematoma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Phlebitis is inflammation of the intima of the vein characterized by pain, erythema, warmth, and a palpable cord along the vein path.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standard length of a standard adult Ryle's (nasogastric) tube?</w:t>
      </w:r>
    </w:p>
    <w:p>
      <w:pPr>
        <w:spacing w:after="0" w:before="0"/>
      </w:pPr>
      <w:r>
        <w:rPr>
          <w:b w:val="0"/>
          <w:sz w:val="22"/>
        </w:rPr>
        <w:t>(a) 70 cm</w:t>
      </w:r>
    </w:p>
    <w:p>
      <w:pPr>
        <w:spacing w:after="0" w:before="0"/>
      </w:pPr>
      <w:r>
        <w:rPr>
          <w:b w:val="0"/>
          <w:sz w:val="22"/>
        </w:rPr>
        <w:t>(b) 90 cm</w:t>
      </w:r>
    </w:p>
    <w:p>
      <w:pPr>
        <w:spacing w:after="0" w:before="0"/>
      </w:pPr>
      <w:r>
        <w:rPr>
          <w:b w:val="0"/>
          <w:sz w:val="22"/>
        </w:rPr>
        <w:t>(c) 105 cm</w:t>
      </w:r>
    </w:p>
    <w:p>
      <w:pPr>
        <w:spacing w:after="0" w:before="0"/>
      </w:pPr>
      <w:r>
        <w:rPr>
          <w:b w:val="0"/>
          <w:sz w:val="22"/>
        </w:rPr>
        <w:t>(d) 140 cm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standard adult Levin/Ryle's nasogastric tube is 105 cm (42 inches) long with markings at 45, 55, 65, and 75 cm from the distal tip.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drug is used as a 2% cold liquid sterilant for endoscopic and laparoscopic instruments?</w:t>
      </w:r>
    </w:p>
    <w:p>
      <w:pPr>
        <w:spacing w:after="0" w:before="0"/>
      </w:pPr>
      <w:r>
        <w:rPr>
          <w:b w:val="0"/>
          <w:sz w:val="22"/>
        </w:rPr>
        <w:t>(a) Forceps cleaner</w:t>
      </w:r>
    </w:p>
    <w:p>
      <w:pPr>
        <w:spacing w:after="0" w:before="0"/>
      </w:pPr>
      <w:r>
        <w:rPr>
          <w:b w:val="0"/>
          <w:sz w:val="22"/>
        </w:rPr>
        <w:t>(b) Phenol</w:t>
      </w:r>
    </w:p>
    <w:p>
      <w:pPr>
        <w:spacing w:after="0" w:before="0"/>
      </w:pPr>
      <w:r>
        <w:rPr>
          <w:b w:val="0"/>
          <w:sz w:val="22"/>
        </w:rPr>
        <w:t>(c) Glutaraldehyde (Cidex)</w:t>
      </w:r>
    </w:p>
    <w:p>
      <w:pPr>
        <w:spacing w:after="0" w:before="0"/>
      </w:pPr>
      <w:r>
        <w:rPr>
          <w:b w:val="0"/>
          <w:sz w:val="22"/>
        </w:rPr>
        <w:t>(d) Alcohol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2% Glutaraldehyde is a potent sporicidal cold chemical sterilant used for immersing heat-sensitive flexible endoscopes and surgical instruments.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taking antipsychotic medications exhibits motor restlessness, pacing, and inability to sit still. This extrapyramidal side effect is</w:t>
      </w:r>
    </w:p>
    <w:p>
      <w:pPr>
        <w:spacing w:after="0" w:before="0"/>
      </w:pPr>
      <w:r>
        <w:rPr>
          <w:b w:val="0"/>
          <w:sz w:val="22"/>
        </w:rPr>
        <w:t>(a) Akathisia</w:t>
      </w:r>
    </w:p>
    <w:p>
      <w:pPr>
        <w:spacing w:after="0" w:before="0"/>
      </w:pPr>
      <w:r>
        <w:rPr>
          <w:b w:val="0"/>
          <w:sz w:val="22"/>
        </w:rPr>
        <w:t>(b) Tardive dyskinesia</w:t>
      </w:r>
    </w:p>
    <w:p>
      <w:pPr>
        <w:spacing w:after="0" w:before="0"/>
      </w:pPr>
      <w:r>
        <w:rPr>
          <w:b w:val="0"/>
          <w:sz w:val="22"/>
        </w:rPr>
        <w:t>(c) Neuroleptic malignant syndrome</w:t>
      </w:r>
    </w:p>
    <w:p>
      <w:pPr>
        <w:spacing w:after="0" w:before="0"/>
      </w:pPr>
      <w:r>
        <w:rPr>
          <w:b w:val="0"/>
          <w:sz w:val="22"/>
        </w:rPr>
        <w:t>(d) Dystonia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Akathisia is a distressing EPS characterized by subjective feelings of inner restlessness and objective motor restlessness (pacing, fidgeting).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Erythropoietin hormone produced by juxtaglomerular renal cells primarily stimulates</w:t>
      </w:r>
    </w:p>
    <w:p>
      <w:pPr>
        <w:spacing w:after="0" w:before="0"/>
      </w:pPr>
      <w:r>
        <w:rPr>
          <w:b w:val="0"/>
          <w:sz w:val="22"/>
        </w:rPr>
        <w:t>(a) WBC synthesis</w:t>
      </w:r>
    </w:p>
    <w:p>
      <w:pPr>
        <w:spacing w:after="0" w:before="0"/>
      </w:pPr>
      <w:r>
        <w:rPr>
          <w:b w:val="0"/>
          <w:sz w:val="22"/>
        </w:rPr>
        <w:t>(b) Erythropoiesis (RBC synthesis)</w:t>
      </w:r>
    </w:p>
    <w:p>
      <w:pPr>
        <w:spacing w:after="0" w:before="0"/>
      </w:pPr>
      <w:r>
        <w:rPr>
          <w:b w:val="0"/>
          <w:sz w:val="22"/>
        </w:rPr>
        <w:t>(c) Platelet synthesis</w:t>
      </w:r>
    </w:p>
    <w:p>
      <w:pPr>
        <w:spacing w:after="0" w:before="0"/>
      </w:pPr>
      <w:r>
        <w:rPr>
          <w:b w:val="0"/>
          <w:sz w:val="22"/>
        </w:rPr>
        <w:t>(d) Plasma protein synthesis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Erythropoietin (EPO) targets bone marrow hematopoietic stem cells to stimulate red blood cell (erythrocyte) proliferation and maturation.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Body Mass Index (BMI) is calculated using which formula?</w:t>
      </w:r>
    </w:p>
    <w:p>
      <w:pPr>
        <w:spacing w:after="0" w:before="0"/>
      </w:pPr>
      <w:r>
        <w:rPr>
          <w:b w:val="0"/>
          <w:sz w:val="22"/>
        </w:rPr>
        <w:t>(a) Weight in kg / (Height in meters)²</w:t>
      </w:r>
    </w:p>
    <w:p>
      <w:pPr>
        <w:spacing w:after="0" w:before="0"/>
      </w:pPr>
      <w:r>
        <w:rPr>
          <w:b w:val="0"/>
          <w:sz w:val="22"/>
        </w:rPr>
        <w:t>(b) Weight in kg / Height in cm²</w:t>
      </w:r>
    </w:p>
    <w:p>
      <w:pPr>
        <w:spacing w:after="0" w:before="0"/>
      </w:pPr>
      <w:r>
        <w:rPr>
          <w:b w:val="0"/>
          <w:sz w:val="22"/>
        </w:rPr>
        <w:t>(c) Weight in kg / Height in meters³</w:t>
      </w:r>
    </w:p>
    <w:p>
      <w:pPr>
        <w:spacing w:after="0" w:before="0"/>
      </w:pPr>
      <w:r>
        <w:rPr>
          <w:b w:val="0"/>
          <w:sz w:val="22"/>
        </w:rPr>
        <w:t>(d) Weight in lbs / Height in inches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BMI formula: Weight (kg) divided by Height squared in meters (m²). Normal BMI range is 18.5 – 24.9 kg/m².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Acute Leukemia is characterized by abnormal uncontrolled proliferation of</w:t>
      </w:r>
    </w:p>
    <w:p>
      <w:pPr>
        <w:spacing w:after="0" w:before="0"/>
      </w:pPr>
      <w:r>
        <w:rPr>
          <w:b w:val="0"/>
          <w:sz w:val="22"/>
        </w:rPr>
        <w:t>(a) Immature blast leukocytes</w:t>
      </w:r>
    </w:p>
    <w:p>
      <w:pPr>
        <w:spacing w:after="0" w:before="0"/>
      </w:pPr>
      <w:r>
        <w:rPr>
          <w:b w:val="0"/>
          <w:sz w:val="22"/>
        </w:rPr>
        <w:t>(b) Immature reticulocytes</w:t>
      </w:r>
    </w:p>
    <w:p>
      <w:pPr>
        <w:spacing w:after="0" w:before="0"/>
      </w:pPr>
      <w:r>
        <w:rPr>
          <w:b w:val="0"/>
          <w:sz w:val="22"/>
        </w:rPr>
        <w:t>(c) Immature megakaryocytes</w:t>
      </w:r>
    </w:p>
    <w:p>
      <w:pPr>
        <w:spacing w:after="0" w:before="0"/>
      </w:pPr>
      <w:r>
        <w:rPr>
          <w:b w:val="0"/>
          <w:sz w:val="22"/>
        </w:rPr>
        <w:t>(d) Mature granulocytes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Acute leukemias (ALL/AML) involve rapid accumulation of undifferentiated, immature white blood cell blasts in bone marrow and blood.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Spasmodic involuntary contraction of neck sternocleidomastoid muscle twisting the head to one side is</w:t>
      </w:r>
    </w:p>
    <w:p>
      <w:pPr>
        <w:spacing w:after="0" w:before="0"/>
      </w:pPr>
      <w:r>
        <w:rPr>
          <w:b w:val="0"/>
          <w:sz w:val="22"/>
        </w:rPr>
        <w:t>(a) Torticollis (Wryneck)</w:t>
      </w:r>
    </w:p>
    <w:p>
      <w:pPr>
        <w:spacing w:after="0" w:before="0"/>
      </w:pPr>
      <w:r>
        <w:rPr>
          <w:b w:val="0"/>
          <w:sz w:val="22"/>
        </w:rPr>
        <w:t>(b) Oculogyric crisis</w:t>
      </w:r>
    </w:p>
    <w:p>
      <w:pPr>
        <w:spacing w:after="0" w:before="0"/>
      </w:pPr>
      <w:r>
        <w:rPr>
          <w:b w:val="0"/>
          <w:sz w:val="22"/>
        </w:rPr>
        <w:t>(c) Tardive dyskinesia</w:t>
      </w:r>
    </w:p>
    <w:p>
      <w:pPr>
        <w:spacing w:after="0" w:before="0"/>
      </w:pPr>
      <w:r>
        <w:rPr>
          <w:b w:val="0"/>
          <w:sz w:val="22"/>
        </w:rPr>
        <w:t>(d) Pseudoparkinsonism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Torticollis (wryneck) is a painful focal dystonia resulting in involuntary neck muscle spasm and abnormal lateral tilt of the head.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primigravida mother can expect to feel first fetal movements (Quickening) between which weeks?</w:t>
      </w:r>
    </w:p>
    <w:p>
      <w:pPr>
        <w:spacing w:after="0" w:before="0"/>
      </w:pPr>
      <w:r>
        <w:rPr>
          <w:b w:val="0"/>
          <w:sz w:val="22"/>
        </w:rPr>
        <w:t>(a) 6 to 8 weeks</w:t>
      </w:r>
    </w:p>
    <w:p>
      <w:pPr>
        <w:spacing w:after="0" w:before="0"/>
      </w:pPr>
      <w:r>
        <w:rPr>
          <w:b w:val="0"/>
          <w:sz w:val="22"/>
        </w:rPr>
        <w:t>(b) 8 to 10 weeks</w:t>
      </w:r>
    </w:p>
    <w:p>
      <w:pPr>
        <w:spacing w:after="0" w:before="0"/>
      </w:pPr>
      <w:r>
        <w:rPr>
          <w:b w:val="0"/>
          <w:sz w:val="22"/>
        </w:rPr>
        <w:t>(c) 10 to 12 weeks</w:t>
      </w:r>
    </w:p>
    <w:p>
      <w:pPr>
        <w:spacing w:after="0" w:before="0"/>
      </w:pPr>
      <w:r>
        <w:rPr>
          <w:b w:val="0"/>
          <w:sz w:val="22"/>
        </w:rPr>
        <w:t>(d) 18 to 20 weeks (or 16-20 weeks)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Quickening (first perception of fetal movement) is typically felt between 18–20 weeks in primigravidas and 16–18 weeks in multigravidas.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Why is chromic catgut suture prohibited in several European countries?</w:t>
      </w:r>
    </w:p>
    <w:p>
      <w:pPr>
        <w:spacing w:after="0" w:before="0"/>
      </w:pPr>
      <w:r>
        <w:rPr>
          <w:b w:val="0"/>
          <w:sz w:val="22"/>
        </w:rPr>
        <w:t>(a) Risk of transmitting Bovine Spongiform Encephalopathy (Prion disease)</w:t>
      </w:r>
    </w:p>
    <w:p>
      <w:pPr>
        <w:spacing w:after="0" w:before="0"/>
      </w:pPr>
      <w:r>
        <w:rPr>
          <w:b w:val="0"/>
          <w:sz w:val="22"/>
        </w:rPr>
        <w:t>(b) Risk of HIV transmission</w:t>
      </w:r>
    </w:p>
    <w:p>
      <w:pPr>
        <w:spacing w:after="0" w:before="0"/>
      </w:pPr>
      <w:r>
        <w:rPr>
          <w:b w:val="0"/>
          <w:sz w:val="22"/>
        </w:rPr>
        <w:t>(c) Risk of Malaria</w:t>
      </w:r>
    </w:p>
    <w:p>
      <w:pPr>
        <w:spacing w:after="0" w:before="0"/>
      </w:pPr>
      <w:r>
        <w:rPr>
          <w:b w:val="0"/>
          <w:sz w:val="22"/>
        </w:rPr>
        <w:t>(d) Risk of Hepatitis C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Catgut is derived from bovine/ovine intestinal submucosa; concerns regarding transmission of BSE (mad cow disease) led to ban in Europe.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Following VP (Ventriculoperitoneal) shunt surgery in an infant with hydrocephalus, how does the nurse assess for increased ICP?</w:t>
      </w:r>
    </w:p>
    <w:p>
      <w:pPr>
        <w:spacing w:after="0" w:before="0"/>
      </w:pPr>
      <w:r>
        <w:rPr>
          <w:b w:val="0"/>
          <w:sz w:val="22"/>
        </w:rPr>
        <w:t>(a) Assess respiratory rate</w:t>
      </w:r>
    </w:p>
    <w:p>
      <w:pPr>
        <w:spacing w:after="0" w:before="0"/>
      </w:pPr>
      <w:r>
        <w:rPr>
          <w:b w:val="0"/>
          <w:sz w:val="22"/>
        </w:rPr>
        <w:t>(b) Measure blood pressure</w:t>
      </w:r>
    </w:p>
    <w:p>
      <w:pPr>
        <w:spacing w:after="0" w:before="0"/>
      </w:pPr>
      <w:r>
        <w:rPr>
          <w:b w:val="0"/>
          <w:sz w:val="22"/>
        </w:rPr>
        <w:t>(c) Palpate anterior fontanelle for fullness/bulging</w:t>
      </w:r>
    </w:p>
    <w:p>
      <w:pPr>
        <w:spacing w:after="0" w:before="0"/>
      </w:pPr>
      <w:r>
        <w:rPr>
          <w:b w:val="0"/>
          <w:sz w:val="22"/>
        </w:rPr>
        <w:t>(d) Check urine output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 infants, a tense, bulging anterior fontanelle is the primary physical sign of elevated intracranial pressure (ICP).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Immediately following normal third stage delivery, where should the uterine fundus be palpated?</w:t>
      </w:r>
    </w:p>
    <w:p>
      <w:pPr>
        <w:spacing w:after="0" w:before="0"/>
      </w:pPr>
      <w:r>
        <w:rPr>
          <w:b w:val="0"/>
          <w:sz w:val="22"/>
        </w:rPr>
        <w:t>(a) Midway between symphysis pubis and umbilicus (or at level of umbilicus)</w:t>
      </w:r>
    </w:p>
    <w:p>
      <w:pPr>
        <w:spacing w:after="0" w:before="0"/>
      </w:pPr>
      <w:r>
        <w:rPr>
          <w:b w:val="0"/>
          <w:sz w:val="22"/>
        </w:rPr>
        <w:t>(b) At xiphoid process</w:t>
      </w:r>
    </w:p>
    <w:p>
      <w:pPr>
        <w:spacing w:after="0" w:before="0"/>
      </w:pPr>
      <w:r>
        <w:rPr>
          <w:b w:val="0"/>
          <w:sz w:val="22"/>
        </w:rPr>
        <w:t>(c) Above umbilicus</w:t>
      </w:r>
    </w:p>
    <w:p>
      <w:pPr>
        <w:spacing w:after="0" w:before="0"/>
      </w:pPr>
      <w:r>
        <w:rPr>
          <w:b w:val="0"/>
          <w:sz w:val="22"/>
        </w:rPr>
        <w:t>(d) Below symphysis pubis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Immediately after placental delivery, the firmly contracted uterine fundus is palpated at or 1-2 cm below the level of the umbilicus.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Severe, painful vaginal bleeding in the third trimester (34 weeks) with uterine tenderness indicates</w:t>
      </w:r>
    </w:p>
    <w:p>
      <w:pPr>
        <w:spacing w:after="0" w:before="0"/>
      </w:pPr>
      <w:r>
        <w:rPr>
          <w:b w:val="0"/>
          <w:sz w:val="22"/>
        </w:rPr>
        <w:t>(a) Placenta Previa</w:t>
      </w:r>
    </w:p>
    <w:p>
      <w:pPr>
        <w:spacing w:after="0" w:before="0"/>
      </w:pPr>
      <w:r>
        <w:rPr>
          <w:b w:val="0"/>
          <w:sz w:val="22"/>
        </w:rPr>
        <w:t>(b) Placenta Percreta</w:t>
      </w:r>
    </w:p>
    <w:p>
      <w:pPr>
        <w:spacing w:after="0" w:before="0"/>
      </w:pPr>
      <w:r>
        <w:rPr>
          <w:b w:val="0"/>
          <w:sz w:val="22"/>
        </w:rPr>
        <w:t>(c) Abruptio Placentae</w:t>
      </w:r>
    </w:p>
    <w:p>
      <w:pPr>
        <w:spacing w:after="0" w:before="0"/>
      </w:pPr>
      <w:r>
        <w:rPr>
          <w:b w:val="0"/>
          <w:sz w:val="22"/>
        </w:rPr>
        <w:t>(d) Placenta Accreta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Abruptio Placentae presents with painful dark vaginal bleeding, uterine hypertonia, and abdominal pain due to premature placental separation.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initial diagnostic investigation of choice for suspected Placenta Previa in third trimester bleeding?</w:t>
      </w:r>
    </w:p>
    <w:p>
      <w:pPr>
        <w:spacing w:after="0" w:before="0"/>
      </w:pPr>
      <w:r>
        <w:rPr>
          <w:b w:val="0"/>
          <w:sz w:val="22"/>
        </w:rPr>
        <w:t>(a) Obstetric Transabdominal / Transvaginal Ultrasonography (USG)</w:t>
      </w:r>
    </w:p>
    <w:p>
      <w:pPr>
        <w:spacing w:after="0" w:before="0"/>
      </w:pPr>
      <w:r>
        <w:rPr>
          <w:b w:val="0"/>
          <w:sz w:val="22"/>
        </w:rPr>
        <w:t>(b) CT scan</w:t>
      </w:r>
    </w:p>
    <w:p>
      <w:pPr>
        <w:spacing w:after="0" w:before="0"/>
      </w:pPr>
      <w:r>
        <w:rPr>
          <w:b w:val="0"/>
          <w:sz w:val="22"/>
        </w:rPr>
        <w:t>(c) MRI scan</w:t>
      </w:r>
    </w:p>
    <w:p>
      <w:pPr>
        <w:spacing w:after="0" w:before="0"/>
      </w:pPr>
      <w:r>
        <w:rPr>
          <w:b w:val="0"/>
          <w:sz w:val="22"/>
        </w:rPr>
        <w:t>(d) Pelvic X-ray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Ultrasonography (USG) is the safe, non-invasive gold standard investigation to locate placental implantation site and diagnose placenta previa.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Damage to Wernicke's area in the dominant brain hemisphere affects which lobe?</w:t>
      </w:r>
    </w:p>
    <w:p>
      <w:pPr>
        <w:spacing w:after="0" w:before="0"/>
      </w:pPr>
      <w:r>
        <w:rPr>
          <w:b w:val="0"/>
          <w:sz w:val="22"/>
        </w:rPr>
        <w:t>(a) Parietal lobe</w:t>
      </w:r>
    </w:p>
    <w:p>
      <w:pPr>
        <w:spacing w:after="0" w:before="0"/>
      </w:pPr>
      <w:r>
        <w:rPr>
          <w:b w:val="0"/>
          <w:sz w:val="22"/>
        </w:rPr>
        <w:t>(b) Temporal lobe</w:t>
      </w:r>
    </w:p>
    <w:p>
      <w:pPr>
        <w:spacing w:after="0" w:before="0"/>
      </w:pPr>
      <w:r>
        <w:rPr>
          <w:b w:val="0"/>
          <w:sz w:val="22"/>
        </w:rPr>
        <w:t>(c) Frontal lobe</w:t>
      </w:r>
    </w:p>
    <w:p>
      <w:pPr>
        <w:spacing w:after="0" w:before="0"/>
      </w:pPr>
      <w:r>
        <w:rPr>
          <w:b w:val="0"/>
          <w:sz w:val="22"/>
        </w:rPr>
        <w:t>(d) Occipital lobe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Wernicke's area is located in the superior temporal gyrus of the dominant temporal lobe; damage causes receptive sensory aphasia.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early, sensitive clinical indicator of hypoxia in an unconscious or semi-conscious client?</w:t>
      </w:r>
    </w:p>
    <w:p>
      <w:pPr>
        <w:spacing w:after="0" w:before="0"/>
      </w:pPr>
      <w:r>
        <w:rPr>
          <w:b w:val="0"/>
          <w:sz w:val="22"/>
        </w:rPr>
        <w:t>(a) Restlessness and tachycardia</w:t>
      </w:r>
    </w:p>
    <w:p>
      <w:pPr>
        <w:spacing w:after="0" w:before="0"/>
      </w:pPr>
      <w:r>
        <w:rPr>
          <w:b w:val="0"/>
          <w:sz w:val="22"/>
        </w:rPr>
        <w:t>(b) Cyanosis</w:t>
      </w:r>
    </w:p>
    <w:p>
      <w:pPr>
        <w:spacing w:after="0" w:before="0"/>
      </w:pPr>
      <w:r>
        <w:rPr>
          <w:b w:val="0"/>
          <w:sz w:val="22"/>
        </w:rPr>
        <w:t>(c) Bradycardia</w:t>
      </w:r>
    </w:p>
    <w:p>
      <w:pPr>
        <w:spacing w:after="0" w:before="0"/>
      </w:pPr>
      <w:r>
        <w:rPr>
          <w:b w:val="0"/>
          <w:sz w:val="22"/>
        </w:rPr>
        <w:t>(d) Hypotension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Restlessness, apprehension, anxiety, and tachycardia are early indicators of cellular hypoxia before late cyanosis develops.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Serum Creatine Kinase-MB (CK-MB) levels begin to elevate following acute myocardial infarction within</w:t>
      </w:r>
    </w:p>
    <w:p>
      <w:pPr>
        <w:spacing w:after="0" w:before="0"/>
      </w:pPr>
      <w:r>
        <w:rPr>
          <w:b w:val="0"/>
          <w:sz w:val="22"/>
        </w:rPr>
        <w:t>(a) 12-14 hours</w:t>
      </w:r>
    </w:p>
    <w:p>
      <w:pPr>
        <w:spacing w:after="0" w:before="0"/>
      </w:pPr>
      <w:r>
        <w:rPr>
          <w:b w:val="0"/>
          <w:sz w:val="22"/>
        </w:rPr>
        <w:t>(b) 4 to 6 hours</w:t>
      </w:r>
    </w:p>
    <w:p>
      <w:pPr>
        <w:spacing w:after="0" w:before="0"/>
      </w:pPr>
      <w:r>
        <w:rPr>
          <w:b w:val="0"/>
          <w:sz w:val="22"/>
        </w:rPr>
        <w:t>(c) 18-24 hours</w:t>
      </w:r>
    </w:p>
    <w:p>
      <w:pPr>
        <w:spacing w:after="0" w:before="0"/>
      </w:pPr>
      <w:r>
        <w:rPr>
          <w:b w:val="0"/>
          <w:sz w:val="22"/>
        </w:rPr>
        <w:t>(d) 24-36 hours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CK-MB rises within 4–6 hours after myocardial injury, peaks at 18–24 hours, and returns to baseline within 48–72 hours.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