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Which of this increases absorption of iron except</w:t>
      </w:r>
    </w:p>
    <w:p>
      <w:pPr>
        <w:spacing w:after="0" w:before="0"/>
      </w:pPr>
      <w:r>
        <w:rPr>
          <w:b w:val="0"/>
          <w:sz w:val="22"/>
        </w:rPr>
        <w:t>(a) Aamla</w:t>
      </w:r>
    </w:p>
    <w:p>
      <w:pPr>
        <w:spacing w:after="0" w:before="0"/>
      </w:pPr>
      <w:r>
        <w:rPr>
          <w:b w:val="0"/>
          <w:sz w:val="22"/>
        </w:rPr>
        <w:t>(b) Citrus Fruit</w:t>
      </w:r>
    </w:p>
    <w:p>
      <w:pPr>
        <w:spacing w:after="0" w:before="0"/>
      </w:pPr>
      <w:r>
        <w:rPr>
          <w:b w:val="0"/>
          <w:sz w:val="22"/>
        </w:rPr>
        <w:t>(c) Sprouts</w:t>
      </w:r>
    </w:p>
    <w:p>
      <w:pPr>
        <w:spacing w:after="0" w:before="0"/>
      </w:pPr>
      <w:r>
        <w:rPr>
          <w:b w:val="0"/>
          <w:sz w:val="22"/>
        </w:rPr>
        <w:t>(d) Curd</w:t>
      </w:r>
    </w:p>
    <w:p>
      <w:pPr>
        <w:spacing w:after="0" w:before="40"/>
      </w:pPr>
      <w:r>
        <w:rPr>
          <w:b/>
          <w:sz w:val="22"/>
        </w:rPr>
        <w:t>Answer: d</w:t>
      </w:r>
    </w:p>
    <w:p>
      <w:pPr>
        <w:spacing w:after="0" w:before="0"/>
      </w:pPr>
      <w:r>
        <w:rPr>
          <w:b w:val="0"/>
          <w:sz w:val="21"/>
        </w:rPr>
        <w:t>Solution: Amla, citrus fruits and sprouts are rich in vitamin C which enhances iron absorption; curd (calcium-rich) inhibits iron absorption.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All of of this is seen in anorexia nervosa except</w:t>
      </w:r>
    </w:p>
    <w:p>
      <w:pPr>
        <w:spacing w:after="0" w:before="0"/>
      </w:pPr>
      <w:r>
        <w:rPr>
          <w:b w:val="0"/>
          <w:sz w:val="22"/>
        </w:rPr>
        <w:t>(a) Osteoporosis</w:t>
      </w:r>
    </w:p>
    <w:p>
      <w:pPr>
        <w:spacing w:after="0" w:before="0"/>
      </w:pPr>
      <w:r>
        <w:rPr>
          <w:b w:val="0"/>
          <w:sz w:val="22"/>
        </w:rPr>
        <w:t>(b) Myocardial hypertrophy</w:t>
      </w:r>
    </w:p>
    <w:p>
      <w:pPr>
        <w:spacing w:after="0" w:before="0"/>
      </w:pPr>
      <w:r>
        <w:rPr>
          <w:b w:val="0"/>
          <w:sz w:val="22"/>
        </w:rPr>
        <w:t>(c) Electrolyte imbalance</w:t>
      </w:r>
    </w:p>
    <w:p>
      <w:pPr>
        <w:spacing w:after="0" w:before="0"/>
      </w:pPr>
      <w:r>
        <w:rPr>
          <w:b w:val="0"/>
          <w:sz w:val="22"/>
        </w:rPr>
        <w:t>(d) Menorrhagia</w:t>
      </w:r>
    </w:p>
    <w:p>
      <w:pPr>
        <w:spacing w:after="0" w:before="40"/>
      </w:pPr>
      <w:r>
        <w:rPr>
          <w:b/>
          <w:sz w:val="22"/>
        </w:rPr>
        <w:t>Answer: d</w:t>
      </w:r>
    </w:p>
    <w:p>
      <w:pPr>
        <w:spacing w:after="0" w:before="0"/>
      </w:pPr>
      <w:r>
        <w:rPr>
          <w:b w:val="0"/>
          <w:sz w:val="21"/>
        </w:rPr>
        <w:t>Solution: Anorexia nervosa causes osteoporosis, electrolyte imbalance and amenorrhoea (not menorrhagia); menstruation is usually scanty or absent.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criteria for low birth weight baby</w:t>
      </w:r>
    </w:p>
    <w:p>
      <w:pPr>
        <w:spacing w:after="0" w:before="0"/>
      </w:pPr>
      <w:r>
        <w:rPr>
          <w:b w:val="0"/>
          <w:sz w:val="22"/>
        </w:rPr>
        <w:t>(a) 2.5 kg</w:t>
      </w:r>
    </w:p>
    <w:p>
      <w:pPr>
        <w:spacing w:after="0" w:before="0"/>
      </w:pPr>
      <w:r>
        <w:rPr>
          <w:b w:val="0"/>
          <w:sz w:val="22"/>
        </w:rPr>
        <w:t>(b) 3 kg</w:t>
      </w:r>
    </w:p>
    <w:p>
      <w:pPr>
        <w:spacing w:after="0" w:before="0"/>
      </w:pPr>
      <w:r>
        <w:rPr>
          <w:b w:val="0"/>
          <w:sz w:val="22"/>
        </w:rPr>
        <w:t>(c) 1.5 kg</w:t>
      </w:r>
    </w:p>
    <w:p>
      <w:pPr>
        <w:spacing w:after="0" w:before="0"/>
      </w:pPr>
      <w:r>
        <w:rPr>
          <w:b w:val="0"/>
          <w:sz w:val="22"/>
        </w:rPr>
        <w:t>(d) 1 kg</w:t>
      </w:r>
    </w:p>
    <w:p>
      <w:pPr>
        <w:spacing w:after="0" w:before="40"/>
      </w:pPr>
      <w:r>
        <w:rPr>
          <w:b/>
          <w:sz w:val="22"/>
        </w:rPr>
        <w:t>Answer: a</w:t>
      </w:r>
    </w:p>
    <w:p>
      <w:pPr>
        <w:spacing w:after="0" w:before="0"/>
      </w:pPr>
      <w:r>
        <w:rPr>
          <w:b w:val="0"/>
          <w:sz w:val="21"/>
        </w:rPr>
        <w:t>Solution: Low birth weight is defined as birth weight below 2.5 kg (2500 g) regardless of gestational age.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Copper T 380 is effective for how many years as contraceptive?</w:t>
      </w:r>
    </w:p>
    <w:p>
      <w:pPr>
        <w:spacing w:after="0" w:before="0"/>
      </w:pPr>
      <w:r>
        <w:rPr>
          <w:b w:val="0"/>
          <w:sz w:val="22"/>
        </w:rPr>
        <w:t>(a) 3 years</w:t>
      </w:r>
    </w:p>
    <w:p>
      <w:pPr>
        <w:spacing w:after="0" w:before="0"/>
      </w:pPr>
      <w:r>
        <w:rPr>
          <w:b w:val="0"/>
          <w:sz w:val="22"/>
        </w:rPr>
        <w:t>(b) 5 years</w:t>
      </w:r>
    </w:p>
    <w:p>
      <w:pPr>
        <w:spacing w:after="0" w:before="0"/>
      </w:pPr>
      <w:r>
        <w:rPr>
          <w:b w:val="0"/>
          <w:sz w:val="22"/>
        </w:rPr>
        <w:t>(c) 10 years</w:t>
      </w:r>
    </w:p>
    <w:p>
      <w:pPr>
        <w:spacing w:after="0" w:before="0"/>
      </w:pPr>
      <w:r>
        <w:rPr>
          <w:b w:val="0"/>
          <w:sz w:val="22"/>
        </w:rPr>
        <w:t>(d) 7 years</w:t>
      </w:r>
    </w:p>
    <w:p>
      <w:pPr>
        <w:spacing w:after="0" w:before="40"/>
      </w:pPr>
      <w:r>
        <w:rPr>
          <w:b/>
          <w:sz w:val="22"/>
        </w:rPr>
        <w:t>Answer: c</w:t>
      </w:r>
    </w:p>
    <w:p>
      <w:pPr>
        <w:spacing w:after="0" w:before="0"/>
      </w:pPr>
      <w:r>
        <w:rPr>
          <w:b w:val="0"/>
          <w:sz w:val="21"/>
        </w:rPr>
        <w:t>Solution: Copper T 380A is an intrauterine contraceptive device effective for 10 years.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following instrument is used to detect FHS Name the instrument ?</w:t>
      </w:r>
    </w:p>
    <w:p>
      <w:pPr>
        <w:spacing w:after="0" w:before="0"/>
      </w:pPr>
      <w:r>
        <w:rPr>
          <w:b w:val="0"/>
          <w:sz w:val="22"/>
        </w:rPr>
        <w:t>(a) outlet forceps</w:t>
      </w:r>
    </w:p>
    <w:p>
      <w:pPr>
        <w:spacing w:after="0" w:before="0"/>
      </w:pPr>
      <w:r>
        <w:rPr>
          <w:b w:val="0"/>
          <w:sz w:val="22"/>
        </w:rPr>
        <w:t>(b) Sims speculum</w:t>
      </w:r>
    </w:p>
    <w:p>
      <w:pPr>
        <w:spacing w:after="0" w:before="0"/>
      </w:pPr>
      <w:r>
        <w:rPr>
          <w:b w:val="0"/>
          <w:sz w:val="22"/>
        </w:rPr>
        <w:t>(c) Fetoscope</w:t>
      </w:r>
    </w:p>
    <w:p>
      <w:pPr>
        <w:spacing w:after="0" w:before="0"/>
      </w:pPr>
      <w:r>
        <w:rPr>
          <w:b w:val="0"/>
          <w:sz w:val="22"/>
        </w:rPr>
        <w:t>(d) Tenaculum Forceps</w:t>
      </w:r>
    </w:p>
    <w:p>
      <w:pPr>
        <w:spacing w:after="0" w:before="40"/>
      </w:pPr>
      <w:r>
        <w:rPr>
          <w:b/>
          <w:sz w:val="22"/>
        </w:rPr>
        <w:t>Answer: c</w:t>
      </w:r>
    </w:p>
    <w:p>
      <w:pPr>
        <w:spacing w:after="0" w:before="0"/>
      </w:pPr>
      <w:r>
        <w:rPr>
          <w:b w:val="0"/>
          <w:sz w:val="21"/>
        </w:rPr>
        <w:t>Solution: A fetoscope (Pinard stethoscope) is the instrument used to auscultate fetal heart sounds (FHS).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Multiple sclerosis is characterised by:</w:t>
      </w:r>
    </w:p>
    <w:p>
      <w:pPr>
        <w:spacing w:after="0" w:before="0"/>
      </w:pPr>
      <w:r>
        <w:rPr>
          <w:b w:val="0"/>
          <w:sz w:val="22"/>
        </w:rPr>
        <w:t>(a) Progressive demyelination in the CNS</w:t>
      </w:r>
    </w:p>
    <w:p>
      <w:pPr>
        <w:spacing w:after="0" w:before="0"/>
      </w:pPr>
      <w:r>
        <w:rPr>
          <w:b w:val="0"/>
          <w:sz w:val="22"/>
        </w:rPr>
        <w:t>(b) Impaired cerebral circulation</w:t>
      </w:r>
    </w:p>
    <w:p>
      <w:pPr>
        <w:spacing w:after="0" w:before="0"/>
      </w:pPr>
      <w:r>
        <w:rPr>
          <w:b w:val="0"/>
          <w:sz w:val="22"/>
        </w:rPr>
        <w:t>(c) Deficiency of the neurotransmitter dopamine and serotonin</w:t>
      </w:r>
    </w:p>
    <w:p>
      <w:pPr>
        <w:spacing w:after="0" w:before="0"/>
      </w:pPr>
      <w:r>
        <w:rPr>
          <w:b w:val="0"/>
          <w:sz w:val="22"/>
        </w:rPr>
        <w:t>(d) Deterioration of the spinal column</w:t>
      </w:r>
    </w:p>
    <w:p>
      <w:pPr>
        <w:spacing w:after="0" w:before="40"/>
      </w:pPr>
      <w:r>
        <w:rPr>
          <w:b/>
          <w:sz w:val="22"/>
        </w:rPr>
        <w:t>Answer: a</w:t>
      </w:r>
    </w:p>
    <w:p>
      <w:pPr>
        <w:spacing w:after="0" w:before="0"/>
      </w:pPr>
      <w:r>
        <w:rPr>
          <w:b w:val="0"/>
          <w:sz w:val="21"/>
        </w:rPr>
        <w:t>Solution: Multiple sclerosis is an autoimmune disorder characterised by progressive demyelination of the central nervous system.</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Myasthenia gravis characterized by</w:t>
      </w:r>
    </w:p>
    <w:p>
      <w:pPr>
        <w:spacing w:after="0" w:before="0"/>
      </w:pPr>
      <w:r>
        <w:rPr>
          <w:b w:val="0"/>
          <w:sz w:val="22"/>
        </w:rPr>
        <w:t>(a) Systemic infection</w:t>
      </w:r>
    </w:p>
    <w:p>
      <w:pPr>
        <w:spacing w:after="0" w:before="0"/>
      </w:pPr>
      <w:r>
        <w:rPr>
          <w:b w:val="0"/>
          <w:sz w:val="22"/>
        </w:rPr>
        <w:t>(b) Shock</w:t>
      </w:r>
    </w:p>
    <w:p>
      <w:pPr>
        <w:spacing w:after="0" w:before="0"/>
      </w:pPr>
      <w:r>
        <w:rPr>
          <w:b w:val="0"/>
          <w:sz w:val="22"/>
        </w:rPr>
        <w:t>(c) Descending weakness</w:t>
      </w:r>
    </w:p>
    <w:p>
      <w:pPr>
        <w:spacing w:after="0" w:before="0"/>
      </w:pPr>
      <w:r>
        <w:rPr>
          <w:b w:val="0"/>
          <w:sz w:val="22"/>
        </w:rPr>
        <w:t>(d) Ascending weakness</w:t>
      </w:r>
    </w:p>
    <w:p>
      <w:pPr>
        <w:spacing w:after="0" w:before="40"/>
      </w:pPr>
      <w:r>
        <w:rPr>
          <w:b/>
          <w:sz w:val="22"/>
        </w:rPr>
        <w:t>Answer: d</w:t>
      </w:r>
    </w:p>
    <w:p>
      <w:pPr>
        <w:spacing w:after="0" w:before="0"/>
      </w:pPr>
      <w:r>
        <w:rPr>
          <w:b w:val="0"/>
          <w:sz w:val="21"/>
        </w:rPr>
        <w:t>Solution: Myasthenia gravis presents with fluctuating descending weakness (ocular and bulbar muscles first), whereas ascending weakness suggests Guillain-Barré syndrome.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person states that he is sent by a higher deity [God] he will help us all and guide to the way to god</w:t>
      </w:r>
    </w:p>
    <w:p>
      <w:pPr>
        <w:spacing w:after="0" w:before="0"/>
      </w:pPr>
      <w:r>
        <w:rPr>
          <w:b w:val="0"/>
          <w:sz w:val="22"/>
        </w:rPr>
        <w:t>(a) Delusion of grandiosity</w:t>
      </w:r>
    </w:p>
    <w:p>
      <w:pPr>
        <w:spacing w:after="0" w:before="0"/>
      </w:pPr>
      <w:r>
        <w:rPr>
          <w:b w:val="0"/>
          <w:sz w:val="22"/>
        </w:rPr>
        <w:t>(b) Delusion of reference</w:t>
      </w:r>
    </w:p>
    <w:p>
      <w:pPr>
        <w:spacing w:after="0" w:before="0"/>
      </w:pPr>
      <w:r>
        <w:rPr>
          <w:b w:val="0"/>
          <w:sz w:val="22"/>
        </w:rPr>
        <w:t>(c) Delusion of persecution</w:t>
      </w:r>
    </w:p>
    <w:p>
      <w:pPr>
        <w:spacing w:after="0" w:before="0"/>
      </w:pPr>
      <w:r>
        <w:rPr>
          <w:b w:val="0"/>
          <w:sz w:val="22"/>
        </w:rPr>
        <w:t>(d) Delusion of infidelity</w:t>
      </w:r>
    </w:p>
    <w:p>
      <w:pPr>
        <w:spacing w:after="0" w:before="40"/>
      </w:pPr>
      <w:r>
        <w:rPr>
          <w:b/>
          <w:sz w:val="22"/>
        </w:rPr>
        <w:t>Answer: a</w:t>
      </w:r>
    </w:p>
    <w:p>
      <w:pPr>
        <w:spacing w:after="0" w:before="0"/>
      </w:pPr>
      <w:r>
        <w:rPr>
          <w:b w:val="0"/>
          <w:sz w:val="21"/>
        </w:rPr>
        <w:t>Solution: The belief that one is sent by a higher deity on a special mission is a delusion of grandiosity.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Deficiency of which vitamin causes defective bone mineralization disorder called rickets?</w:t>
      </w:r>
    </w:p>
    <w:p>
      <w:pPr>
        <w:spacing w:after="0" w:before="0"/>
      </w:pPr>
      <w:r>
        <w:rPr>
          <w:b w:val="0"/>
          <w:sz w:val="22"/>
        </w:rPr>
        <w:t>(a) Vitamin A</w:t>
      </w:r>
    </w:p>
    <w:p>
      <w:pPr>
        <w:spacing w:after="0" w:before="0"/>
      </w:pPr>
      <w:r>
        <w:rPr>
          <w:b w:val="0"/>
          <w:sz w:val="22"/>
        </w:rPr>
        <w:t>(b) Vitamin E</w:t>
      </w:r>
    </w:p>
    <w:p>
      <w:pPr>
        <w:spacing w:after="0" w:before="0"/>
      </w:pPr>
      <w:r>
        <w:rPr>
          <w:b w:val="0"/>
          <w:sz w:val="22"/>
        </w:rPr>
        <w:t>(c) Vitamin B</w:t>
      </w:r>
    </w:p>
    <w:p>
      <w:pPr>
        <w:spacing w:after="0" w:before="0"/>
      </w:pPr>
      <w:r>
        <w:rPr>
          <w:b w:val="0"/>
          <w:sz w:val="22"/>
        </w:rPr>
        <w:t>(d) Vitamin D</w:t>
      </w:r>
    </w:p>
    <w:p>
      <w:pPr>
        <w:spacing w:after="0" w:before="40"/>
      </w:pPr>
      <w:r>
        <w:rPr>
          <w:b/>
          <w:sz w:val="22"/>
        </w:rPr>
        <w:t>Answer: d</w:t>
      </w:r>
    </w:p>
    <w:p>
      <w:pPr>
        <w:spacing w:after="0" w:before="0"/>
      </w:pPr>
      <w:r>
        <w:rPr>
          <w:b w:val="0"/>
          <w:sz w:val="21"/>
        </w:rPr>
        <w:t>Solution: Rickets, a defective bone-mineralisation disorder, is caused by deficiency of vitamin 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Wernicke's encephalopathy is caused by the deficiency of:</w:t>
      </w:r>
    </w:p>
    <w:p>
      <w:pPr>
        <w:spacing w:after="0" w:before="0"/>
      </w:pPr>
      <w:r>
        <w:rPr>
          <w:b w:val="0"/>
          <w:sz w:val="22"/>
        </w:rPr>
        <w:t>(a) Thiamine</w:t>
      </w:r>
    </w:p>
    <w:p>
      <w:pPr>
        <w:spacing w:after="0" w:before="0"/>
      </w:pPr>
      <w:r>
        <w:rPr>
          <w:b w:val="0"/>
          <w:sz w:val="22"/>
        </w:rPr>
        <w:t>(b) Riboflavin</w:t>
      </w:r>
    </w:p>
    <w:p>
      <w:pPr>
        <w:spacing w:after="0" w:before="0"/>
      </w:pPr>
      <w:r>
        <w:rPr>
          <w:b w:val="0"/>
          <w:sz w:val="22"/>
        </w:rPr>
        <w:t>(c) Vitamin-D</w:t>
      </w:r>
    </w:p>
    <w:p>
      <w:pPr>
        <w:spacing w:after="0" w:before="0"/>
      </w:pPr>
      <w:r>
        <w:rPr>
          <w:b w:val="0"/>
          <w:sz w:val="22"/>
        </w:rPr>
        <w:t>(d) Vitamin-A</w:t>
      </w:r>
    </w:p>
    <w:p>
      <w:pPr>
        <w:spacing w:after="0" w:before="40"/>
      </w:pPr>
      <w:r>
        <w:rPr>
          <w:b/>
          <w:sz w:val="22"/>
        </w:rPr>
        <w:t>Answer: a</w:t>
      </w:r>
    </w:p>
    <w:p>
      <w:pPr>
        <w:spacing w:after="0" w:before="0"/>
      </w:pPr>
      <w:r>
        <w:rPr>
          <w:b w:val="0"/>
          <w:sz w:val="21"/>
        </w:rPr>
        <w:t>Solution: Wernicke's encephalopathy is caused by thiamine (vitamin B1) deficiency, classically in alcoholics.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vitamin deficiency may cause night blindness?</w:t>
      </w:r>
    </w:p>
    <w:p>
      <w:pPr>
        <w:spacing w:after="0" w:before="0"/>
      </w:pPr>
      <w:r>
        <w:rPr>
          <w:b w:val="0"/>
          <w:sz w:val="22"/>
        </w:rPr>
        <w:t>(a) Vitamin K</w:t>
      </w:r>
    </w:p>
    <w:p>
      <w:pPr>
        <w:spacing w:after="0" w:before="0"/>
      </w:pPr>
      <w:r>
        <w:rPr>
          <w:b w:val="0"/>
          <w:sz w:val="22"/>
        </w:rPr>
        <w:t>(b) Vitamin E</w:t>
      </w:r>
    </w:p>
    <w:p>
      <w:pPr>
        <w:spacing w:after="0" w:before="0"/>
      </w:pPr>
      <w:r>
        <w:rPr>
          <w:b w:val="0"/>
          <w:sz w:val="22"/>
        </w:rPr>
        <w:t>(c) Vitamin C</w:t>
      </w:r>
    </w:p>
    <w:p>
      <w:pPr>
        <w:spacing w:after="0" w:before="0"/>
      </w:pPr>
      <w:r>
        <w:rPr>
          <w:b w:val="0"/>
          <w:sz w:val="22"/>
        </w:rPr>
        <w:t>(d) Vitamin A</w:t>
      </w:r>
    </w:p>
    <w:p>
      <w:pPr>
        <w:spacing w:after="0" w:before="40"/>
      </w:pPr>
      <w:r>
        <w:rPr>
          <w:b/>
          <w:sz w:val="22"/>
        </w:rPr>
        <w:t>Answer: d</w:t>
      </w:r>
    </w:p>
    <w:p>
      <w:pPr>
        <w:spacing w:after="0" w:before="0"/>
      </w:pPr>
      <w:r>
        <w:rPr>
          <w:b w:val="0"/>
          <w:sz w:val="21"/>
        </w:rPr>
        <w:t>Solution: Vitamin A (retinol) deficiency causes night blindness and xerophthalmia.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one of the following anti-tuberculosis drugs cannot be given during pregnancy?</w:t>
      </w:r>
    </w:p>
    <w:p>
      <w:pPr>
        <w:spacing w:after="0" w:before="0"/>
      </w:pPr>
      <w:r>
        <w:rPr>
          <w:b w:val="0"/>
          <w:sz w:val="22"/>
        </w:rPr>
        <w:t>(a) Rifampicin</w:t>
      </w:r>
    </w:p>
    <w:p>
      <w:pPr>
        <w:spacing w:after="0" w:before="0"/>
      </w:pPr>
      <w:r>
        <w:rPr>
          <w:b w:val="0"/>
          <w:sz w:val="22"/>
        </w:rPr>
        <w:t>(b) Ethambutol</w:t>
      </w:r>
    </w:p>
    <w:p>
      <w:pPr>
        <w:spacing w:after="0" w:before="0"/>
      </w:pPr>
      <w:r>
        <w:rPr>
          <w:b w:val="0"/>
          <w:sz w:val="22"/>
        </w:rPr>
        <w:t>(c) Streptomycin</w:t>
      </w:r>
    </w:p>
    <w:p>
      <w:pPr>
        <w:spacing w:after="0" w:before="0"/>
      </w:pPr>
      <w:r>
        <w:rPr>
          <w:b w:val="0"/>
          <w:sz w:val="22"/>
        </w:rPr>
        <w:t>(d) Isoniazid</w:t>
      </w:r>
    </w:p>
    <w:p>
      <w:pPr>
        <w:spacing w:after="0" w:before="40"/>
      </w:pPr>
      <w:r>
        <w:rPr>
          <w:b/>
          <w:sz w:val="22"/>
        </w:rPr>
        <w:t>Answer: c</w:t>
      </w:r>
    </w:p>
    <w:p>
      <w:pPr>
        <w:spacing w:after="0" w:before="0"/>
      </w:pPr>
      <w:r>
        <w:rPr>
          <w:b w:val="0"/>
          <w:sz w:val="21"/>
        </w:rPr>
        <w:t>Solution: Streptomycin is ototoxic and nephrotoxic and is contraindicated during pregnancy among the anti-tubercular drugs.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Clinical manifestations of dehydration include all of the following, EXCEPT:</w:t>
      </w:r>
    </w:p>
    <w:p>
      <w:pPr>
        <w:spacing w:after="0" w:before="0"/>
      </w:pPr>
      <w:r>
        <w:rPr>
          <w:b w:val="0"/>
          <w:sz w:val="22"/>
        </w:rPr>
        <w:t>(a) dry mouth, eye and lips</w:t>
      </w:r>
    </w:p>
    <w:p>
      <w:pPr>
        <w:spacing w:after="0" w:before="0"/>
      </w:pPr>
      <w:r>
        <w:rPr>
          <w:b w:val="0"/>
          <w:sz w:val="22"/>
        </w:rPr>
        <w:t>(b) headache and light headedness</w:t>
      </w:r>
    </w:p>
    <w:p>
      <w:pPr>
        <w:spacing w:after="0" w:before="0"/>
      </w:pPr>
      <w:r>
        <w:rPr>
          <w:b w:val="0"/>
          <w:sz w:val="22"/>
        </w:rPr>
        <w:t>(c) small amounts of dark urine</w:t>
      </w:r>
    </w:p>
    <w:p>
      <w:pPr>
        <w:spacing w:after="0" w:before="0"/>
      </w:pPr>
      <w:r>
        <w:rPr>
          <w:b w:val="0"/>
          <w:sz w:val="22"/>
        </w:rPr>
        <w:t>(d) dry and brittle nails</w:t>
      </w:r>
    </w:p>
    <w:p>
      <w:pPr>
        <w:spacing w:after="0" w:before="40"/>
      </w:pPr>
      <w:r>
        <w:rPr>
          <w:b/>
          <w:sz w:val="22"/>
        </w:rPr>
        <w:t>Answer: d</w:t>
      </w:r>
    </w:p>
    <w:p>
      <w:pPr>
        <w:spacing w:after="0" w:before="0"/>
      </w:pPr>
      <w:r>
        <w:rPr>
          <w:b w:val="0"/>
          <w:sz w:val="21"/>
        </w:rPr>
        <w:t>Solution: Dehydration causes dry mouth, headache, light-headedness and scanty dark urine; dry brittle nails are not a manifestation of dehydration.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Facial feature of Addison disease include</w:t>
      </w:r>
    </w:p>
    <w:p>
      <w:pPr>
        <w:spacing w:after="0" w:before="0"/>
      </w:pPr>
      <w:r>
        <w:rPr>
          <w:b w:val="0"/>
          <w:sz w:val="22"/>
        </w:rPr>
        <w:t>(a) Moonlike face</w:t>
      </w:r>
    </w:p>
    <w:p>
      <w:pPr>
        <w:spacing w:after="0" w:before="0"/>
      </w:pPr>
      <w:r>
        <w:rPr>
          <w:b w:val="0"/>
          <w:sz w:val="22"/>
        </w:rPr>
        <w:t>(b) Skin hyper pigmentation</w:t>
      </w:r>
    </w:p>
    <w:p>
      <w:pPr>
        <w:spacing w:after="0" w:before="0"/>
      </w:pPr>
      <w:r>
        <w:rPr>
          <w:b w:val="0"/>
          <w:sz w:val="22"/>
        </w:rPr>
        <w:t>(c) Swollen face</w:t>
      </w:r>
    </w:p>
    <w:p>
      <w:pPr>
        <w:spacing w:after="0" w:before="0"/>
      </w:pPr>
      <w:r>
        <w:rPr>
          <w:b w:val="0"/>
          <w:sz w:val="22"/>
        </w:rPr>
        <w:t>(d) Puppy face</w:t>
      </w:r>
    </w:p>
    <w:p>
      <w:pPr>
        <w:spacing w:after="0" w:before="40"/>
      </w:pPr>
      <w:r>
        <w:rPr>
          <w:b/>
          <w:sz w:val="22"/>
        </w:rPr>
        <w:t>Answer: b</w:t>
      </w:r>
    </w:p>
    <w:p>
      <w:pPr>
        <w:spacing w:after="0" w:before="0"/>
      </w:pPr>
      <w:r>
        <w:rPr>
          <w:b w:val="0"/>
          <w:sz w:val="21"/>
        </w:rPr>
        <w:t>Solution: Addison's disease (adrenocortical insufficiency) classically causes skin hyperpigmentation (bronze pigmentation).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Patient with Anorexia nervosa taking food correctly as per her diet plan, but there was no increase in weight observed. What will be nursing intervention for the above patient?</w:t>
      </w:r>
    </w:p>
    <w:p>
      <w:pPr>
        <w:spacing w:after="0" w:before="0"/>
      </w:pPr>
      <w:r>
        <w:rPr>
          <w:b w:val="0"/>
          <w:sz w:val="22"/>
        </w:rPr>
        <w:t>(a) Observe patient while taking meal and after up to 2 hours</w:t>
      </w:r>
    </w:p>
    <w:p>
      <w:pPr>
        <w:spacing w:after="0" w:before="0"/>
      </w:pPr>
      <w:r>
        <w:rPr>
          <w:b w:val="0"/>
          <w:sz w:val="22"/>
        </w:rPr>
        <w:t>(b) Increase calorie of food from 1500 to 2000</w:t>
      </w:r>
    </w:p>
    <w:p>
      <w:pPr>
        <w:spacing w:after="0" w:before="0"/>
      </w:pPr>
      <w:r>
        <w:rPr>
          <w:b w:val="0"/>
          <w:sz w:val="22"/>
        </w:rPr>
        <w:t>(c) Add vitamin tablet to her medications</w:t>
      </w:r>
    </w:p>
    <w:p>
      <w:pPr>
        <w:spacing w:after="0" w:before="0"/>
      </w:pPr>
      <w:r>
        <w:rPr>
          <w:b w:val="0"/>
          <w:sz w:val="22"/>
        </w:rPr>
        <w:t>(d) Engage them in other activities</w:t>
      </w:r>
    </w:p>
    <w:p>
      <w:pPr>
        <w:spacing w:after="0" w:before="40"/>
      </w:pPr>
      <w:r>
        <w:rPr>
          <w:b/>
          <w:sz w:val="22"/>
        </w:rPr>
        <w:t>Answer: a</w:t>
      </w:r>
    </w:p>
    <w:p>
      <w:pPr>
        <w:spacing w:after="0" w:before="0"/>
      </w:pPr>
      <w:r>
        <w:rPr>
          <w:b w:val="0"/>
          <w:sz w:val="21"/>
        </w:rPr>
        <w:t>Solution: For a patient with anorexia nervosa, the nurse should observe the patient during meals and afterwards to prevent food hiding and purging.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obstetrical assessment of a woman reveals: (1) this is her third pregnancy; (2) her first child was delivered at 38 weeks; (3) her second child was delivered at 34 weeks. Calculate the GTPAL score.</w:t>
      </w:r>
    </w:p>
    <w:p>
      <w:pPr>
        <w:spacing w:after="0" w:before="0"/>
      </w:pPr>
      <w:r>
        <w:rPr>
          <w:b w:val="0"/>
          <w:sz w:val="22"/>
        </w:rPr>
        <w:t>(a) 31101</w:t>
      </w:r>
    </w:p>
    <w:p>
      <w:pPr>
        <w:spacing w:after="0" w:before="0"/>
      </w:pPr>
      <w:r>
        <w:rPr>
          <w:b w:val="0"/>
          <w:sz w:val="22"/>
        </w:rPr>
        <w:t>(b) 31102</w:t>
      </w:r>
    </w:p>
    <w:p>
      <w:pPr>
        <w:spacing w:after="0" w:before="0"/>
      </w:pPr>
      <w:r>
        <w:rPr>
          <w:b w:val="0"/>
          <w:sz w:val="22"/>
        </w:rPr>
        <w:t>(c) 31111</w:t>
      </w:r>
    </w:p>
    <w:p>
      <w:pPr>
        <w:spacing w:after="0" w:before="0"/>
      </w:pPr>
      <w:r>
        <w:rPr>
          <w:b w:val="0"/>
          <w:sz w:val="22"/>
        </w:rPr>
        <w:t>(d) 32111</w:t>
      </w:r>
    </w:p>
    <w:p>
      <w:pPr>
        <w:spacing w:after="0" w:before="40"/>
      </w:pPr>
      <w:r>
        <w:rPr>
          <w:b/>
          <w:sz w:val="22"/>
        </w:rPr>
        <w:t>Answer: b</w:t>
      </w:r>
    </w:p>
    <w:p>
      <w:pPr>
        <w:spacing w:after="0" w:before="0"/>
      </w:pPr>
      <w:r>
        <w:rPr>
          <w:b w:val="0"/>
          <w:sz w:val="21"/>
        </w:rPr>
        <w:t>Solution: G = 3 (third pregnancy), T = 1 (one term birth at 38 weeks), P = 1 (one preterm birth at 34 weeks), A = 0, L = 2 living children → 31102.</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standardized test of gross and fine motor skills for adults</w:t>
      </w:r>
    </w:p>
    <w:p>
      <w:pPr>
        <w:spacing w:after="0" w:before="0"/>
      </w:pPr>
      <w:r>
        <w:rPr>
          <w:b w:val="0"/>
          <w:sz w:val="22"/>
        </w:rPr>
        <w:t>(a) Glasgow coma scale</w:t>
      </w:r>
    </w:p>
    <w:p>
      <w:pPr>
        <w:spacing w:after="0" w:before="0"/>
      </w:pPr>
      <w:r>
        <w:rPr>
          <w:b w:val="0"/>
          <w:sz w:val="22"/>
        </w:rPr>
        <w:t>(b) Pain assessment scale</w:t>
      </w:r>
    </w:p>
    <w:p>
      <w:pPr>
        <w:spacing w:after="0" w:before="0"/>
      </w:pPr>
      <w:r>
        <w:rPr>
          <w:b w:val="0"/>
          <w:sz w:val="22"/>
        </w:rPr>
        <w:t>(c) Denver Developmental Screening Test</w:t>
      </w:r>
    </w:p>
    <w:p>
      <w:pPr>
        <w:spacing w:after="0" w:before="0"/>
      </w:pPr>
      <w:r>
        <w:rPr>
          <w:b w:val="0"/>
          <w:sz w:val="22"/>
        </w:rPr>
        <w:t>(d) Bruininks Oseretsky Test</w:t>
      </w:r>
    </w:p>
    <w:p>
      <w:pPr>
        <w:spacing w:after="0" w:before="40"/>
      </w:pPr>
      <w:r>
        <w:rPr>
          <w:b/>
          <w:sz w:val="22"/>
        </w:rPr>
        <w:t>Answer: d</w:t>
      </w:r>
    </w:p>
    <w:p>
      <w:pPr>
        <w:spacing w:after="0" w:before="0"/>
      </w:pPr>
      <w:r>
        <w:rPr>
          <w:b w:val="0"/>
          <w:sz w:val="21"/>
        </w:rPr>
        <w:t>Solution: The Bruininks-Oseretsky Test of Motor Proficiency is a standardized test of gross and fine motor skills.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a nurse administers regular (short-acting) insulin to a patient at 9:00 am, at what time is the drug most likely to reach its peak action?</w:t>
      </w:r>
    </w:p>
    <w:p>
      <w:pPr>
        <w:spacing w:after="0" w:before="0"/>
      </w:pPr>
      <w:r>
        <w:rPr>
          <w:b w:val="0"/>
          <w:sz w:val="22"/>
        </w:rPr>
        <w:t>(a) 9:15 am</w:t>
      </w:r>
    </w:p>
    <w:p>
      <w:pPr>
        <w:spacing w:after="0" w:before="0"/>
      </w:pPr>
      <w:r>
        <w:rPr>
          <w:b w:val="0"/>
          <w:sz w:val="22"/>
        </w:rPr>
        <w:t>(b) 10:00 am</w:t>
      </w:r>
    </w:p>
    <w:p>
      <w:pPr>
        <w:spacing w:after="0" w:before="0"/>
      </w:pPr>
      <w:r>
        <w:rPr>
          <w:b w:val="0"/>
          <w:sz w:val="22"/>
        </w:rPr>
        <w:t>(c) 10:30 am</w:t>
      </w:r>
    </w:p>
    <w:p>
      <w:pPr>
        <w:spacing w:after="0" w:before="0"/>
      </w:pPr>
      <w:r>
        <w:rPr>
          <w:b w:val="0"/>
          <w:sz w:val="22"/>
        </w:rPr>
        <w:t>(d) 12:00 pm</w:t>
      </w:r>
    </w:p>
    <w:p>
      <w:pPr>
        <w:spacing w:after="0" w:before="40"/>
      </w:pPr>
      <w:r>
        <w:rPr>
          <w:b/>
          <w:sz w:val="22"/>
        </w:rPr>
        <w:t>Answer: d</w:t>
      </w:r>
    </w:p>
    <w:p>
      <w:pPr>
        <w:spacing w:after="0" w:before="0"/>
      </w:pPr>
      <w:r>
        <w:rPr>
          <w:b w:val="0"/>
          <w:sz w:val="21"/>
        </w:rPr>
        <w:t>Solution: Regular (short-acting) insulin peaks 2-4 hours after subcutaneous injection; injected at 9 am it peaks around 12 noon.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Infiltration cool and elevation portion at fluid state</w:t>
      </w:r>
    </w:p>
    <w:p>
      <w:pPr>
        <w:spacing w:after="0" w:before="0"/>
      </w:pPr>
      <w:r>
        <w:rPr>
          <w:b w:val="0"/>
          <w:sz w:val="22"/>
        </w:rPr>
        <w:t>(a) Transudate</w:t>
      </w:r>
    </w:p>
    <w:p>
      <w:pPr>
        <w:spacing w:after="0" w:before="0"/>
      </w:pPr>
      <w:r>
        <w:rPr>
          <w:b w:val="0"/>
          <w:sz w:val="22"/>
        </w:rPr>
        <w:t>(b) Inflammation</w:t>
      </w:r>
    </w:p>
    <w:p>
      <w:pPr>
        <w:spacing w:after="0" w:before="0"/>
      </w:pPr>
      <w:r>
        <w:rPr>
          <w:b w:val="0"/>
          <w:sz w:val="22"/>
        </w:rPr>
        <w:t>(c) Edema</w:t>
      </w:r>
    </w:p>
    <w:p>
      <w:pPr>
        <w:spacing w:after="0" w:before="0"/>
      </w:pPr>
      <w:r>
        <w:rPr>
          <w:b w:val="0"/>
          <w:sz w:val="22"/>
        </w:rPr>
        <w:t>(d) Both A and B</w:t>
      </w:r>
    </w:p>
    <w:p>
      <w:pPr>
        <w:spacing w:after="0" w:before="40"/>
      </w:pPr>
      <w:r>
        <w:rPr>
          <w:b/>
          <w:sz w:val="22"/>
        </w:rPr>
        <w:t>Answer: c</w:t>
      </w:r>
    </w:p>
    <w:p>
      <w:pPr>
        <w:spacing w:after="0" w:before="0"/>
      </w:pPr>
      <w:r>
        <w:rPr>
          <w:b w:val="0"/>
          <w:sz w:val="21"/>
        </w:rPr>
        <w:t>Solution: Cool swelling with pitting on pressure is oedema - accumulation of fluid in the interstitial spaces.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nurse is taking care of the patient with fluid electrolyte imbalance, she notices that there is redness around the IV cannula, after touching she found out that there is tenderness and IV flow is also decreased What is correct interpretation of the following condition and the action</w:t>
      </w:r>
    </w:p>
    <w:p>
      <w:pPr>
        <w:spacing w:after="0" w:before="0"/>
      </w:pPr>
      <w:r>
        <w:rPr>
          <w:b w:val="0"/>
          <w:sz w:val="22"/>
        </w:rPr>
        <w:t>(a) The finding is a normal after cannulation, continue the IV flow</w:t>
      </w:r>
    </w:p>
    <w:p>
      <w:pPr>
        <w:spacing w:after="0" w:before="0"/>
      </w:pPr>
      <w:r>
        <w:rPr>
          <w:b w:val="0"/>
          <w:sz w:val="22"/>
        </w:rPr>
        <w:t>(b) The finding is abnormal there is sepsis, stop the IV flow remove cannula</w:t>
      </w:r>
    </w:p>
    <w:p>
      <w:pPr>
        <w:spacing w:after="0" w:before="0"/>
      </w:pPr>
      <w:r>
        <w:rPr>
          <w:b w:val="0"/>
          <w:sz w:val="22"/>
        </w:rPr>
        <w:t>(c) The finding is abnormal there is phlebitis, stop the IV flow remove cannula</w:t>
      </w:r>
    </w:p>
    <w:p>
      <w:pPr>
        <w:spacing w:after="0" w:before="0"/>
      </w:pPr>
      <w:r>
        <w:rPr>
          <w:b w:val="0"/>
          <w:sz w:val="22"/>
        </w:rPr>
        <w:t>(d) The finding is abnormal wait for physician to provide you the order</w:t>
      </w:r>
    </w:p>
    <w:p>
      <w:pPr>
        <w:spacing w:after="0" w:before="40"/>
      </w:pPr>
      <w:r>
        <w:rPr>
          <w:b/>
          <w:sz w:val="22"/>
        </w:rPr>
        <w:t>Answer: c</w:t>
      </w:r>
    </w:p>
    <w:p>
      <w:pPr>
        <w:spacing w:after="0" w:before="0"/>
      </w:pPr>
      <w:r>
        <w:rPr>
          <w:b w:val="0"/>
          <w:sz w:val="21"/>
        </w:rPr>
        <w:t>Solution: Pain, redness and warmth at the IV site indicate phlebitis; the infusion must be stopped and the site inspected.</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