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number of the catheters is used in young female clients?</w:t>
      </w:r>
    </w:p>
    <w:p>
      <w:pPr>
        <w:spacing w:after="0" w:before="0"/>
      </w:pPr>
      <w:r>
        <w:rPr>
          <w:b w:val="0"/>
          <w:sz w:val="22"/>
        </w:rPr>
        <w:t>(a) 12-14 Fr</w:t>
      </w:r>
    </w:p>
    <w:p>
      <w:pPr>
        <w:spacing w:after="0" w:before="0"/>
      </w:pPr>
      <w:r>
        <w:rPr>
          <w:b w:val="0"/>
          <w:sz w:val="22"/>
        </w:rPr>
        <w:t>(b) 14-16 Fr</w:t>
      </w:r>
    </w:p>
    <w:p>
      <w:pPr>
        <w:spacing w:after="0" w:before="0"/>
      </w:pPr>
      <w:r>
        <w:rPr>
          <w:b w:val="0"/>
          <w:sz w:val="22"/>
        </w:rPr>
        <w:t>(c) 16-18 Fr</w:t>
      </w:r>
    </w:p>
    <w:p>
      <w:pPr>
        <w:spacing w:after="0" w:before="0"/>
      </w:pPr>
      <w:r>
        <w:rPr>
          <w:b w:val="0"/>
          <w:sz w:val="22"/>
        </w:rPr>
        <w:t>(d) 10-12 Fr</w:t>
      </w:r>
    </w:p>
    <w:p>
      <w:pPr>
        <w:spacing w:after="0" w:before="40"/>
      </w:pPr>
      <w:r>
        <w:rPr>
          <w:b/>
          <w:sz w:val="22"/>
        </w:rPr>
        <w:t>Answer: a</w:t>
      </w:r>
    </w:p>
    <w:p>
      <w:pPr>
        <w:spacing w:after="0" w:before="0"/>
      </w:pPr>
      <w:r>
        <w:rPr>
          <w:b w:val="0"/>
          <w:sz w:val="21"/>
        </w:rPr>
        <w:t>Solution: The catheter size commonly used in young female clients is 12-14 Fr (French). Catheters are medical devices used for various purposes, such as urinary drainage or administration of medications. The French scale is a measurement system used to determine the diameter of catheters. In young female clients, a smaller catheter size is typically preferred to minimize discomfort and trauma during insertion. The 12-14 Fr range is suitable for most young female clients, but the selection may vary depending on individual factors and clinical circumstances. Proper insertion technique and sterile practices should be followed during catheterization.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17-year-old female primigravida comes to the hospital who takes iron tablets sporadically but she says she took a very iron-rich diet at home. What should the nursing officer suggest she take along with?</w:t>
      </w:r>
    </w:p>
    <w:p>
      <w:pPr>
        <w:spacing w:after="0" w:before="0"/>
      </w:pPr>
      <w:r>
        <w:rPr>
          <w:b w:val="0"/>
          <w:sz w:val="22"/>
        </w:rPr>
        <w:t>(a) Vitamin-A</w:t>
      </w:r>
    </w:p>
    <w:p>
      <w:pPr>
        <w:spacing w:after="0" w:before="0"/>
      </w:pPr>
      <w:r>
        <w:rPr>
          <w:b w:val="0"/>
          <w:sz w:val="22"/>
        </w:rPr>
        <w:t>(b) Vitamin-D</w:t>
      </w:r>
    </w:p>
    <w:p>
      <w:pPr>
        <w:spacing w:after="0" w:before="0"/>
      </w:pPr>
      <w:r>
        <w:rPr>
          <w:b w:val="0"/>
          <w:sz w:val="22"/>
        </w:rPr>
        <w:t>(c) Folic Acid</w:t>
      </w:r>
    </w:p>
    <w:p>
      <w:pPr>
        <w:spacing w:after="0" w:before="0"/>
      </w:pPr>
      <w:r>
        <w:rPr>
          <w:b w:val="0"/>
          <w:sz w:val="22"/>
        </w:rPr>
        <w:t>(d) Vitamin C</w:t>
      </w:r>
    </w:p>
    <w:p>
      <w:pPr>
        <w:spacing w:after="0" w:before="40"/>
      </w:pPr>
      <w:r>
        <w:rPr>
          <w:b/>
          <w:sz w:val="22"/>
        </w:rPr>
        <w:t>Answer: c</w:t>
      </w:r>
    </w:p>
    <w:p>
      <w:pPr>
        <w:spacing w:after="0" w:before="0"/>
      </w:pPr>
      <w:r>
        <w:rPr>
          <w:b w:val="0"/>
          <w:sz w:val="21"/>
        </w:rPr>
        <w:t>Solution: The nursing officer should suggest that the 17-year-old female primigravida take folic acid along with her sporadic iron intake and iron-rich diet. Folic acid is an essential nutrient during pregnancy as it plays a crucial role in the development of the neural tube in the fetus and helps prevent neural Follic aid Nutrition) critamins / tube defects. While iron is important for addressing anemia and supporting healthy blood production, folic acid is specifically recommended for pregnant women to ensure proper fetal development. It is advisable for the primigravida to take folic acid supplements regularly as prescribed by her healthcare provider to meet the increased demands during pregnancy.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Dose of Levonorgesterol in emergency contraception?</w:t>
      </w:r>
    </w:p>
    <w:p>
      <w:pPr>
        <w:spacing w:after="0" w:before="0"/>
      </w:pPr>
      <w:r>
        <w:rPr>
          <w:b w:val="0"/>
          <w:sz w:val="22"/>
        </w:rPr>
        <w:t>(a) 1.5 mg</w:t>
      </w:r>
    </w:p>
    <w:p>
      <w:pPr>
        <w:spacing w:after="0" w:before="0"/>
      </w:pPr>
      <w:r>
        <w:rPr>
          <w:b w:val="0"/>
          <w:sz w:val="22"/>
        </w:rPr>
        <w:t>(b) 3.0 mg</w:t>
      </w:r>
    </w:p>
    <w:p>
      <w:pPr>
        <w:spacing w:after="0" w:before="0"/>
      </w:pPr>
      <w:r>
        <w:rPr>
          <w:b w:val="0"/>
          <w:sz w:val="22"/>
        </w:rPr>
        <w:t>(c) 1.0 mg</w:t>
      </w:r>
    </w:p>
    <w:p>
      <w:pPr>
        <w:spacing w:after="0" w:before="0"/>
      </w:pPr>
      <w:r>
        <w:rPr>
          <w:b w:val="0"/>
          <w:sz w:val="22"/>
        </w:rPr>
        <w:t>(d) 0.75 mg</w:t>
      </w:r>
    </w:p>
    <w:p>
      <w:pPr>
        <w:spacing w:after="0" w:before="40"/>
      </w:pPr>
      <w:r>
        <w:rPr>
          <w:b/>
          <w:sz w:val="22"/>
        </w:rPr>
        <w:t>Answer: a</w:t>
      </w:r>
    </w:p>
    <w:p>
      <w:pPr>
        <w:spacing w:after="0" w:before="0"/>
      </w:pPr>
      <w:r>
        <w:rPr>
          <w:b w:val="0"/>
          <w:sz w:val="21"/>
        </w:rPr>
        <w:t>Solution: The dose of Levonorgestrel in emergency contraception is 1.5 mg. Levonorgestrel is a progestin hormone commonly used in emergency contraception, also known as the "morning-after pill." It is a safe and effective method of preventing unintended pregnancy when taken within a specific time frame after unprotected intercourse or contraceptive failure. Levonorgestrel works primarily by inhibiting or delaying ovulation, thereby reducing the chances of fertilization. The recommended dose of 1.5 mg is usually taken as a single tablet and should be taken as soon as possible after unprotected intercourse for optimal efficacy.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sleep-related disturbance is not typically associated with melancholic depression?</w:t>
      </w:r>
    </w:p>
    <w:p>
      <w:pPr>
        <w:spacing w:after="0" w:before="0"/>
      </w:pPr>
      <w:r>
        <w:rPr>
          <w:b w:val="0"/>
          <w:sz w:val="22"/>
        </w:rPr>
        <w:t>(a) Terminal insomnia</w:t>
      </w:r>
    </w:p>
    <w:p>
      <w:pPr>
        <w:spacing w:after="0" w:before="0"/>
      </w:pPr>
      <w:r>
        <w:rPr>
          <w:b w:val="0"/>
          <w:sz w:val="22"/>
        </w:rPr>
        <w:t>(b) Hypersomnia</w:t>
      </w:r>
    </w:p>
    <w:p>
      <w:pPr>
        <w:spacing w:after="0" w:before="0"/>
      </w:pPr>
      <w:r>
        <w:rPr>
          <w:b w:val="0"/>
          <w:sz w:val="22"/>
        </w:rPr>
        <w:t>(c) Increased REM sleep</w:t>
      </w:r>
    </w:p>
    <w:p>
      <w:pPr>
        <w:spacing w:after="0" w:before="0"/>
      </w:pPr>
      <w:r>
        <w:rPr>
          <w:b w:val="0"/>
          <w:sz w:val="22"/>
        </w:rPr>
        <w:t>(d) Obstructive sleep apnoea</w:t>
      </w:r>
    </w:p>
    <w:p>
      <w:pPr>
        <w:spacing w:after="0" w:before="40"/>
      </w:pPr>
      <w:r>
        <w:rPr>
          <w:b/>
          <w:sz w:val="22"/>
        </w:rPr>
        <w:t>Answer: c</w:t>
      </w:r>
    </w:p>
    <w:p>
      <w:pPr>
        <w:spacing w:after="0" w:before="0"/>
      </w:pPr>
      <w:r>
        <w:rPr>
          <w:b w:val="0"/>
          <w:sz w:val="21"/>
        </w:rPr>
        <w:t>Solution: Increased REM sleep is not typically associated with melancholic depression. Melancholic depression is a subtype of major depressive disorder characterized by specific features such as anhedonia (loss of pleasure), significant weight loss or decreased appetite, excessive guilt, psychomotor agitation or retardation, and early morning awakening. Sleep disturbances commonly observed in melancholic depression include terminal insomnia, which involves waking up early in the morning and being unable to fall back asleep. Hypersomnia, characterized by excessive daytime sleepiness, may also be present in some cases. However, increased REM sleep is not a characteristic feature of melancholic depression.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study was conducted among 300 individuals, including 100 individuals affected by lung cancer and 200 smokers who are not affected by lung cancer. Which type of study design is represented here?</w:t>
      </w:r>
    </w:p>
    <w:p>
      <w:pPr>
        <w:spacing w:after="0" w:before="0"/>
      </w:pPr>
      <w:r>
        <w:rPr>
          <w:b w:val="0"/>
          <w:sz w:val="22"/>
        </w:rPr>
        <w:t>(a) Cohort study</w:t>
      </w:r>
    </w:p>
    <w:p>
      <w:pPr>
        <w:spacing w:after="0" w:before="0"/>
      </w:pPr>
      <w:r>
        <w:rPr>
          <w:b w:val="0"/>
          <w:sz w:val="22"/>
        </w:rPr>
        <w:t>(b) Field Trial</w:t>
      </w:r>
    </w:p>
    <w:p>
      <w:pPr>
        <w:spacing w:after="0" w:before="0"/>
      </w:pPr>
      <w:r>
        <w:rPr>
          <w:b w:val="0"/>
          <w:sz w:val="22"/>
        </w:rPr>
        <w:t>(c) Case Control Study</w:t>
      </w:r>
    </w:p>
    <w:p>
      <w:pPr>
        <w:spacing w:after="0" w:before="0"/>
      </w:pPr>
      <w:r>
        <w:rPr>
          <w:b w:val="0"/>
          <w:sz w:val="22"/>
        </w:rPr>
        <w:t>(d) Cross-sectional study</w:t>
      </w:r>
    </w:p>
    <w:p>
      <w:pPr>
        <w:spacing w:after="0" w:before="40"/>
      </w:pPr>
      <w:r>
        <w:rPr>
          <w:b/>
          <w:sz w:val="22"/>
        </w:rPr>
        <w:t>Answer: c</w:t>
      </w:r>
    </w:p>
    <w:p>
      <w:pPr>
        <w:spacing w:after="0" w:before="0"/>
      </w:pPr>
      <w:r>
        <w:rPr>
          <w:b w:val="0"/>
          <w:sz w:val="21"/>
        </w:rPr>
        <w:t>Solution: The study design represented in the given scenario is a case-control study. In a case-control study, individuals with a particular condition or disease (cases) are compared to individuals without the condition or disease (controls) to determine potential risk factors or associations. In this study, 100 individuals affected by lung cancer are the cases, while 200 smokers who are not affected by lung cancer are the controls. The researchers would compare the exposure history, such as smoking habits or other relevant factors, between the cases and controls to evaluate the association between smoking and lung cancer development. Case-control studies are useful in investigating rare diseases or conditions and can provide valuable insights into potential risk factors.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presented to the psychiatry OPD with his relatives and complained of knee pain, stating that it was due to aliens interfering with his thoughts and controlling him. Which would be the possible diagnosis according to DSM-5 criteria?</w:t>
      </w:r>
    </w:p>
    <w:p>
      <w:pPr>
        <w:spacing w:after="0" w:before="0"/>
      </w:pPr>
      <w:r>
        <w:rPr>
          <w:b w:val="0"/>
          <w:sz w:val="22"/>
        </w:rPr>
        <w:t>(a) Somatic delusion</w:t>
      </w:r>
    </w:p>
    <w:p>
      <w:pPr>
        <w:spacing w:after="0" w:before="0"/>
      </w:pPr>
      <w:r>
        <w:rPr>
          <w:b w:val="0"/>
          <w:sz w:val="22"/>
        </w:rPr>
        <w:t>(b) Delusion of control</w:t>
      </w:r>
    </w:p>
    <w:p>
      <w:pPr>
        <w:spacing w:after="0" w:before="0"/>
      </w:pPr>
      <w:r>
        <w:rPr>
          <w:b w:val="0"/>
          <w:sz w:val="22"/>
        </w:rPr>
        <w:t>(c) Delusion of grandiosity</w:t>
      </w:r>
    </w:p>
    <w:p>
      <w:pPr>
        <w:spacing w:after="0" w:before="0"/>
      </w:pPr>
      <w:r>
        <w:rPr>
          <w:b w:val="0"/>
          <w:sz w:val="22"/>
        </w:rPr>
        <w:t>(d) Delusion of persuasion</w:t>
      </w:r>
    </w:p>
    <w:p>
      <w:pPr>
        <w:spacing w:after="0" w:before="40"/>
      </w:pPr>
      <w:r>
        <w:rPr>
          <w:b/>
          <w:sz w:val="22"/>
        </w:rPr>
        <w:t>Answer: b</w:t>
      </w:r>
    </w:p>
    <w:p>
      <w:pPr>
        <w:spacing w:after="0" w:before="0"/>
      </w:pPr>
      <w:r>
        <w:rPr>
          <w:b w:val="0"/>
          <w:sz w:val="21"/>
        </w:rPr>
        <w:t>Solution: The possible diagnosis for the patient's presentation is delusion of control, according to DSM-5 criteria. Delusion of control is a subtype of delusional disorder in which the individual has a false belief that external forces are controlling their thoughts or actions. This belief is not due to the effects of a substance or a medical condition and cannot be explained by another mental disorder. The delusions cause significant distress or impairment in social, occupational, or other important areas of functioning.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is in shock. Which parameter will be used to assess different organ tissue perfusion?</w:t>
      </w:r>
    </w:p>
    <w:p>
      <w:pPr>
        <w:spacing w:after="0" w:before="0"/>
      </w:pPr>
      <w:r>
        <w:rPr>
          <w:b w:val="0"/>
          <w:sz w:val="22"/>
        </w:rPr>
        <w:t>(a) Systolic BP</w:t>
      </w:r>
    </w:p>
    <w:p>
      <w:pPr>
        <w:spacing w:after="0" w:before="0"/>
      </w:pPr>
      <w:r>
        <w:rPr>
          <w:b w:val="0"/>
          <w:sz w:val="22"/>
        </w:rPr>
        <w:t>(b) MAP</w:t>
      </w:r>
    </w:p>
    <w:p>
      <w:pPr>
        <w:spacing w:after="0" w:before="0"/>
      </w:pPr>
      <w:r>
        <w:rPr>
          <w:b w:val="0"/>
          <w:sz w:val="22"/>
        </w:rPr>
        <w:t>(c) Oxygen saturation</w:t>
      </w:r>
    </w:p>
    <w:p>
      <w:pPr>
        <w:spacing w:after="0" w:before="0"/>
      </w:pPr>
      <w:r>
        <w:rPr>
          <w:b w:val="0"/>
          <w:sz w:val="22"/>
        </w:rPr>
        <w:t>(d) Temperature</w:t>
      </w:r>
    </w:p>
    <w:p>
      <w:pPr>
        <w:spacing w:after="0" w:before="40"/>
      </w:pPr>
      <w:r>
        <w:rPr>
          <w:b/>
          <w:sz w:val="22"/>
        </w:rPr>
        <w:t>Answer: c</w:t>
      </w:r>
    </w:p>
    <w:p>
      <w:pPr>
        <w:spacing w:after="0" w:before="0"/>
      </w:pPr>
      <w:r>
        <w:rPr>
          <w:b w:val="0"/>
          <w:sz w:val="21"/>
        </w:rPr>
        <w:t>Solution: When a patient is in shock, one parameter used to assess different organ tissue perfusion is oxygen saturation. Oxygen saturation is a measure of the percentage of hemoglobin in the blood that is bound to oxygen. It reflects the oxygen-carrying capacity of the blood and provides an indication of tissue oxygenation. In shock, there is inadequate perfusion to various organs and tissues, leading to oxygen deprivation. Monitoring oxygen saturation levels using pulse oximetry helps to assess the extent of tissue perfusion and oxygen delivery. Lower oxygen saturation levels indicate impaired tissue perfusion and the need for intervention to restore adequate oxygenation.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Cyanotic spell is seen in:</w:t>
      </w:r>
    </w:p>
    <w:p>
      <w:pPr>
        <w:spacing w:after="0" w:before="0"/>
      </w:pPr>
      <w:r>
        <w:rPr>
          <w:b w:val="0"/>
          <w:sz w:val="22"/>
        </w:rPr>
        <w:t>(a) Atrial septal defect</w:t>
      </w:r>
    </w:p>
    <w:p>
      <w:pPr>
        <w:spacing w:after="0" w:before="0"/>
      </w:pPr>
      <w:r>
        <w:rPr>
          <w:b w:val="0"/>
          <w:sz w:val="22"/>
        </w:rPr>
        <w:t>(b) Ventricular septal defect</w:t>
      </w:r>
    </w:p>
    <w:p>
      <w:pPr>
        <w:spacing w:after="0" w:before="0"/>
      </w:pPr>
      <w:r>
        <w:rPr>
          <w:b w:val="0"/>
          <w:sz w:val="22"/>
        </w:rPr>
        <w:t>(c) Tetralogy of Fallot</w:t>
      </w:r>
    </w:p>
    <w:p>
      <w:pPr>
        <w:spacing w:after="0" w:before="0"/>
      </w:pPr>
      <w:r>
        <w:rPr>
          <w:b w:val="0"/>
          <w:sz w:val="22"/>
        </w:rPr>
        <w:t>(d) Trans position of arteries</w:t>
      </w:r>
    </w:p>
    <w:p>
      <w:pPr>
        <w:spacing w:after="0" w:before="40"/>
      </w:pPr>
      <w:r>
        <w:rPr>
          <w:b/>
          <w:sz w:val="22"/>
        </w:rPr>
        <w:t>Answer: c</w:t>
      </w:r>
    </w:p>
    <w:p>
      <w:pPr>
        <w:spacing w:after="0" w:before="0"/>
      </w:pPr>
      <w:r>
        <w:rPr>
          <w:b w:val="0"/>
          <w:sz w:val="21"/>
        </w:rPr>
        <w:t>Solution: A cyanotic spell is seen in Tetralogy of Fallot. Tetralogy of Fallot is a congenital heart defect characterized by four specific abnormalities in the structure of the heart. These abnormalities include ventricular septal defect (VSD), pulmonary stenosis, overriding aorta, and right ventricular hypertrophy. During a cyanotic spell, also known as a "Tet spell," there is a sudden and severe decrease in blood flow to the lungs, leading to inadequate oxygenation of the blood. This results in cyanosis, or a bluish discoloration of the skin and mucous membranes. Cyanotic spells can be triggered by physical activity or agitation and require immediate medical attention. "Nelson Textbook of Pediatrics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complication should the on-duty nurse assess for in a patient who presents to the emergency department with a circumferential burn?</w:t>
      </w:r>
    </w:p>
    <w:p>
      <w:pPr>
        <w:spacing w:after="0" w:before="0"/>
      </w:pPr>
      <w:r>
        <w:rPr>
          <w:b w:val="0"/>
          <w:sz w:val="22"/>
        </w:rPr>
        <w:t>(a) Airway obstruction</w:t>
      </w:r>
    </w:p>
    <w:p>
      <w:pPr>
        <w:spacing w:after="0" w:before="0"/>
      </w:pPr>
      <w:r>
        <w:rPr>
          <w:b w:val="0"/>
          <w:sz w:val="22"/>
        </w:rPr>
        <w:t>(b) Poor respiratory effort</w:t>
      </w:r>
    </w:p>
    <w:p>
      <w:pPr>
        <w:spacing w:after="0" w:before="0"/>
      </w:pPr>
      <w:r>
        <w:rPr>
          <w:b w:val="0"/>
          <w:sz w:val="22"/>
        </w:rPr>
        <w:t>(c) Absent peripheral pulse</w:t>
      </w:r>
    </w:p>
    <w:p>
      <w:pPr>
        <w:spacing w:after="0" w:before="0"/>
      </w:pPr>
      <w:r>
        <w:rPr>
          <w:b w:val="0"/>
          <w:sz w:val="22"/>
        </w:rPr>
        <w:t>(d) All of the above</w:t>
      </w:r>
    </w:p>
    <w:p>
      <w:pPr>
        <w:spacing w:after="0" w:before="40"/>
      </w:pPr>
      <w:r>
        <w:rPr>
          <w:b/>
          <w:sz w:val="22"/>
        </w:rPr>
        <w:t>Answer: d</w:t>
      </w:r>
    </w:p>
    <w:p>
      <w:pPr>
        <w:spacing w:after="0" w:before="0"/>
      </w:pPr>
      <w:r>
        <w:rPr>
          <w:b w:val="0"/>
          <w:sz w:val="21"/>
        </w:rPr>
        <w:t>Solution: A circumferential burn can impair breathing and distal circulation; the nurse should assess for airway obstruction, poor respiratory effort and absent peripheral pulse - all of the above.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PAP Smear test is used in the diagnosis</w:t>
      </w:r>
    </w:p>
    <w:p>
      <w:pPr>
        <w:spacing w:after="0" w:before="0"/>
      </w:pPr>
      <w:r>
        <w:rPr>
          <w:b w:val="0"/>
          <w:sz w:val="22"/>
        </w:rPr>
        <w:t>(a) Uterine Cancer</w:t>
      </w:r>
    </w:p>
    <w:p>
      <w:pPr>
        <w:spacing w:after="0" w:before="0"/>
      </w:pPr>
      <w:r>
        <w:rPr>
          <w:b w:val="0"/>
          <w:sz w:val="22"/>
        </w:rPr>
        <w:t>(b) Cervical Cancer</w:t>
      </w:r>
    </w:p>
    <w:p>
      <w:pPr>
        <w:spacing w:after="0" w:before="0"/>
      </w:pPr>
      <w:r>
        <w:rPr>
          <w:b w:val="0"/>
          <w:sz w:val="22"/>
        </w:rPr>
        <w:t>(c) Valval Cancer</w:t>
      </w:r>
    </w:p>
    <w:p>
      <w:pPr>
        <w:spacing w:after="0" w:before="0"/>
      </w:pPr>
      <w:r>
        <w:rPr>
          <w:b w:val="0"/>
          <w:sz w:val="22"/>
        </w:rPr>
        <w:t>(d) Ovarian Cancer</w:t>
      </w:r>
    </w:p>
    <w:p>
      <w:pPr>
        <w:spacing w:after="0" w:before="40"/>
      </w:pPr>
      <w:r>
        <w:rPr>
          <w:b/>
          <w:sz w:val="22"/>
        </w:rPr>
        <w:t>Answer: b</w:t>
      </w:r>
    </w:p>
    <w:p>
      <w:pPr>
        <w:spacing w:after="0" w:before="0"/>
      </w:pPr>
      <w:r>
        <w:rPr>
          <w:b w:val="0"/>
          <w:sz w:val="21"/>
        </w:rPr>
        <w:t>Solution: Dialysis ( Renal system) cervical cancer (OBGI The PAP smear test is used in the diagnosis of cervical cancer. Cervical cancer is a type of cancer that develops in the cervix, which is the lower part of the uterus. The PAP smear, also known as a Papanicolaou test, is a screening procedure that involves collecting cells from the cervix and examining them under a microscope to detect any abnormal changes that may indicate the presence of cervical cancer or precancerous conditions.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initial nursing action when a patient receiving a deferoxamine infusion develops flushing of face, urticaria and hypotension?</w:t>
      </w:r>
    </w:p>
    <w:p>
      <w:pPr>
        <w:spacing w:after="0" w:before="0"/>
      </w:pPr>
      <w:r>
        <w:rPr>
          <w:b w:val="0"/>
          <w:sz w:val="22"/>
        </w:rPr>
        <w:t>(a) Stop the Infusion</w:t>
      </w:r>
    </w:p>
    <w:p>
      <w:pPr>
        <w:spacing w:after="0" w:before="0"/>
      </w:pPr>
      <w:r>
        <w:rPr>
          <w:b w:val="0"/>
          <w:sz w:val="22"/>
        </w:rPr>
        <w:t>(b) Continue the Infusion</w:t>
      </w:r>
    </w:p>
    <w:p>
      <w:pPr>
        <w:spacing w:after="0" w:before="0"/>
      </w:pPr>
      <w:r>
        <w:rPr>
          <w:b w:val="0"/>
          <w:sz w:val="22"/>
        </w:rPr>
        <w:t>(c) Assess the vital signs</w:t>
      </w:r>
    </w:p>
    <w:p>
      <w:pPr>
        <w:spacing w:after="0" w:before="0"/>
      </w:pPr>
      <w:r>
        <w:rPr>
          <w:b w:val="0"/>
          <w:sz w:val="22"/>
        </w:rPr>
        <w:t>(d) Inform to the physician</w:t>
      </w:r>
    </w:p>
    <w:p>
      <w:pPr>
        <w:spacing w:after="0" w:before="40"/>
      </w:pPr>
      <w:r>
        <w:rPr>
          <w:b/>
          <w:sz w:val="22"/>
        </w:rPr>
        <w:t>Answer: a</w:t>
      </w:r>
    </w:p>
    <w:p>
      <w:pPr>
        <w:spacing w:after="0" w:before="0"/>
      </w:pPr>
      <w:r>
        <w:rPr>
          <w:b w:val="0"/>
          <w:sz w:val="21"/>
        </w:rPr>
        <w:t>Solution: The initial nursing action when a patient receiving deferoxamine infusion intravenously experiences flushing of face, urticaria, hypotension, and headache is to stop the infusion. Deferoxamine is an iron-chelating agent that is used in the treatment of iron overload. Adverse reactions such as allergic reactions can occur during the infusion. The nurse should closely monitor the patient during the infusion and stop the infusion immediately if any adverse reactions are observed (Potter, P. A., &amp; Perry, A. G. (2016). Fundamentals of nursing. Elsevier Health Sciences. ).</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following clinical condition a 2 years old baby`s cheeks and face looking like reddish around the mouth. It is?</w:t>
      </w:r>
    </w:p>
    <w:p>
      <w:pPr>
        <w:spacing w:after="0" w:before="0"/>
      </w:pPr>
      <w:r>
        <w:rPr>
          <w:b w:val="0"/>
          <w:sz w:val="22"/>
        </w:rPr>
        <w:t>(a) Scabies</w:t>
      </w:r>
    </w:p>
    <w:p>
      <w:pPr>
        <w:spacing w:after="0" w:before="0"/>
      </w:pPr>
      <w:r>
        <w:rPr>
          <w:b w:val="0"/>
          <w:sz w:val="22"/>
        </w:rPr>
        <w:t>(b) Impetigo</w:t>
      </w:r>
    </w:p>
    <w:p>
      <w:pPr>
        <w:spacing w:after="0" w:before="0"/>
      </w:pPr>
      <w:r>
        <w:rPr>
          <w:b w:val="0"/>
          <w:sz w:val="22"/>
        </w:rPr>
        <w:t>(c) Atopic dermatitis</w:t>
      </w:r>
    </w:p>
    <w:p>
      <w:pPr>
        <w:spacing w:after="0" w:before="0"/>
      </w:pPr>
      <w:r>
        <w:rPr>
          <w:b w:val="0"/>
          <w:sz w:val="22"/>
        </w:rPr>
        <w:t>(d) Contact Dermatitis</w:t>
      </w:r>
    </w:p>
    <w:p>
      <w:pPr>
        <w:spacing w:after="0" w:before="40"/>
      </w:pPr>
      <w:r>
        <w:rPr>
          <w:b/>
          <w:sz w:val="22"/>
        </w:rPr>
        <w:t>Answer: c</w:t>
      </w:r>
    </w:p>
    <w:p>
      <w:pPr>
        <w:spacing w:after="0" w:before="0"/>
      </w:pPr>
      <w:r>
        <w:rPr>
          <w:b w:val="0"/>
          <w:sz w:val="21"/>
        </w:rPr>
        <w:t>Solution: The clinical condition described, where a 2-year-old baby's cheeks and face appear reddish around the mouth, is consistent with atopic dermatitis (option C). Atopic dermatitis, also known as eczema, is a chronic inflammatory skin condition characterized by dry, itchy, and inflamed skin. In infants and young children, atopic dermatitis often presents as red, scaly patches that commonly affect the face, particularly the cheeks. The skin around the mouth may be especially susceptible to irritation and redness in atopic dermatitis. Other associated symptoms can include itching, skin thickening, and recurrent flare-ups.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Absolute contraindicated of OCP in which condition?</w:t>
      </w:r>
    </w:p>
    <w:p>
      <w:pPr>
        <w:spacing w:after="0" w:before="0"/>
      </w:pPr>
      <w:r>
        <w:rPr>
          <w:b w:val="0"/>
          <w:sz w:val="22"/>
        </w:rPr>
        <w:t>(a) Migraine with aura</w:t>
      </w:r>
    </w:p>
    <w:p>
      <w:pPr>
        <w:spacing w:after="0" w:before="0"/>
      </w:pPr>
      <w:r>
        <w:rPr>
          <w:b w:val="0"/>
          <w:sz w:val="22"/>
        </w:rPr>
        <w:t>(b) Hypertension &amp; Diabetics</w:t>
      </w:r>
    </w:p>
    <w:p>
      <w:pPr>
        <w:spacing w:after="0" w:before="0"/>
      </w:pPr>
      <w:r>
        <w:rPr>
          <w:b w:val="0"/>
          <w:sz w:val="22"/>
        </w:rPr>
        <w:t>(c) Venous thrombus</w:t>
      </w:r>
    </w:p>
    <w:p>
      <w:pPr>
        <w:spacing w:after="0" w:before="0"/>
      </w:pPr>
      <w:r>
        <w:rPr>
          <w:b w:val="0"/>
          <w:sz w:val="22"/>
        </w:rPr>
        <w:t>(d) Pregnancy</w:t>
      </w:r>
    </w:p>
    <w:p>
      <w:pPr>
        <w:spacing w:after="0" w:before="40"/>
      </w:pPr>
      <w:r>
        <w:rPr>
          <w:b/>
          <w:sz w:val="22"/>
        </w:rPr>
        <w:t>Answer: d</w:t>
      </w:r>
    </w:p>
    <w:p>
      <w:pPr>
        <w:spacing w:after="0" w:before="0"/>
      </w:pPr>
      <w:r>
        <w:rPr>
          <w:b w:val="0"/>
          <w:sz w:val="21"/>
        </w:rPr>
        <w:t>Solution: Absolute contraindication of oral contraceptive pills (OCP) includes pregnancy (option D). OCPs contain synthetic hormones that regulate the menstrual cycle and prevent pregnancy. However, they should not be used during an existing pregnancy due to the potential risks to the developing fetus. OCPs are designed to prevent pregnancy, and their use during pregnancy is not indicated. It is important for healthcare providers to screen for pregnancy before initiating OCP use and advise women to discontinue OCPs if they become pregnant. Other contraindications to OCP use include a history of blood clots, certain types of cancers, liver disease, and uncontrolled hypertension.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Covid face shield is sterilized by?</w:t>
      </w:r>
    </w:p>
    <w:p>
      <w:pPr>
        <w:spacing w:after="0" w:before="0"/>
      </w:pPr>
      <w:r>
        <w:rPr>
          <w:b w:val="0"/>
          <w:sz w:val="22"/>
        </w:rPr>
        <w:t>(a) Sodium Hypochlorite</w:t>
      </w:r>
    </w:p>
    <w:p>
      <w:pPr>
        <w:spacing w:after="0" w:before="0"/>
      </w:pPr>
      <w:r>
        <w:rPr>
          <w:b w:val="0"/>
          <w:sz w:val="22"/>
        </w:rPr>
        <w:t>(b) H202</w:t>
      </w:r>
    </w:p>
    <w:p>
      <w:pPr>
        <w:spacing w:after="0" w:before="0"/>
      </w:pPr>
      <w:r>
        <w:rPr>
          <w:b w:val="0"/>
          <w:sz w:val="22"/>
        </w:rPr>
        <w:t>(c) Cidex</w:t>
      </w:r>
    </w:p>
    <w:p>
      <w:pPr>
        <w:spacing w:after="0" w:before="0"/>
      </w:pPr>
      <w:r>
        <w:rPr>
          <w:b w:val="0"/>
          <w:sz w:val="22"/>
        </w:rPr>
        <w:t>(d) Formalin</w:t>
      </w:r>
    </w:p>
    <w:p>
      <w:pPr>
        <w:spacing w:after="0" w:before="40"/>
      </w:pPr>
      <w:r>
        <w:rPr>
          <w:b/>
          <w:sz w:val="22"/>
        </w:rPr>
        <w:t>Answer: a</w:t>
      </w:r>
    </w:p>
    <w:p>
      <w:pPr>
        <w:spacing w:after="0" w:before="0"/>
      </w:pPr>
      <w:r>
        <w:rPr>
          <w:b w:val="0"/>
          <w:sz w:val="21"/>
        </w:rPr>
        <w:t>Solution: Rationale: Face shields used to protect against COVID-19 can be sterilized using sodium hypochlorite. Sodium hypochlorite is a commonly used disinfectant that is effective against a wide range of pathogens, including the virus that causes COVID-19. his may include wearing gloves and protective clothing, diluting the sodium hypochlorite to the appropriate concentration, and allowing enough contact time for the disinfectant to be effective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does the golden color of amniotic fluid indicate?</w:t>
      </w:r>
    </w:p>
    <w:p>
      <w:pPr>
        <w:spacing w:after="0" w:before="0"/>
      </w:pPr>
      <w:r>
        <w:rPr>
          <w:b w:val="0"/>
          <w:sz w:val="22"/>
        </w:rPr>
        <w:t>(a) Rh incompatibility</w:t>
      </w:r>
    </w:p>
    <w:p>
      <w:pPr>
        <w:spacing w:after="0" w:before="0"/>
      </w:pPr>
      <w:r>
        <w:rPr>
          <w:b w:val="0"/>
          <w:sz w:val="22"/>
        </w:rPr>
        <w:t>(b) Meconium strain</w:t>
      </w:r>
    </w:p>
    <w:p>
      <w:pPr>
        <w:spacing w:after="0" w:before="0"/>
      </w:pPr>
      <w:r>
        <w:rPr>
          <w:b w:val="0"/>
          <w:sz w:val="22"/>
        </w:rPr>
        <w:t>(c) Post term</w:t>
      </w:r>
    </w:p>
    <w:p>
      <w:pPr>
        <w:spacing w:after="0" w:before="0"/>
      </w:pPr>
      <w:r>
        <w:rPr>
          <w:b w:val="0"/>
          <w:sz w:val="22"/>
        </w:rPr>
        <w:t>(d) Normal colour</w:t>
      </w:r>
    </w:p>
    <w:p>
      <w:pPr>
        <w:spacing w:after="0" w:before="40"/>
      </w:pPr>
      <w:r>
        <w:rPr>
          <w:b/>
          <w:sz w:val="22"/>
        </w:rPr>
        <w:t>Answer: a</w:t>
      </w:r>
    </w:p>
    <w:p>
      <w:pPr>
        <w:spacing w:after="0" w:before="0"/>
      </w:pPr>
      <w:r>
        <w:rPr>
          <w:b w:val="0"/>
          <w:sz w:val="21"/>
        </w:rPr>
        <w:t>Solution: The golden color of amniotic fluid indicates Rh incompatibility (option a). Rh incompatibility occurs when the mother is Rh-negative and the fetus is Rh-positive. When there is a mixing of blood during childbirth, the mother's immune system can produce antibodies against the Rh factor. These antibodies can cause hemolysis of the fetal red blood cells, leading to the release of bilirubin and resulting in a characteristic golden color of the amniotic fluid. Rh incompatibility requires appropriate monitoring and interventions to prevent complications in the newborn. Code of ethics ) Amniotic fluid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Location for chest compression during neonatal resuscitation is?</w:t>
      </w:r>
    </w:p>
    <w:p>
      <w:pPr>
        <w:spacing w:after="0" w:before="0"/>
      </w:pPr>
      <w:r>
        <w:rPr>
          <w:b w:val="0"/>
          <w:sz w:val="22"/>
        </w:rPr>
        <w:t>(a) Middle 1/3 of sternum above xiphisternum</w:t>
      </w:r>
    </w:p>
    <w:p>
      <w:pPr>
        <w:spacing w:after="0" w:before="0"/>
      </w:pPr>
      <w:r>
        <w:rPr>
          <w:b w:val="0"/>
          <w:sz w:val="22"/>
        </w:rPr>
        <w:t>(b) Lower 1/3 of stemum above xiphisternum</w:t>
      </w:r>
    </w:p>
    <w:p>
      <w:pPr>
        <w:spacing w:after="0" w:before="0"/>
      </w:pPr>
      <w:r>
        <w:rPr>
          <w:b w:val="0"/>
          <w:sz w:val="22"/>
        </w:rPr>
        <w:t>(c) Lower ° of sternum</w:t>
      </w:r>
    </w:p>
    <w:p>
      <w:pPr>
        <w:spacing w:after="0" w:before="0"/>
      </w:pPr>
      <w:r>
        <w:rPr>
          <w:b w:val="0"/>
          <w:sz w:val="22"/>
        </w:rPr>
        <w:t>(d) Between xiphoid process</w:t>
      </w:r>
    </w:p>
    <w:p>
      <w:pPr>
        <w:spacing w:after="0" w:before="40"/>
      </w:pPr>
      <w:r>
        <w:rPr>
          <w:b/>
          <w:sz w:val="22"/>
        </w:rPr>
        <w:t>Answer: b</w:t>
      </w:r>
    </w:p>
    <w:p>
      <w:pPr>
        <w:spacing w:after="0" w:before="0"/>
      </w:pPr>
      <w:r>
        <w:rPr>
          <w:b w:val="0"/>
          <w:sz w:val="21"/>
        </w:rPr>
        <w:t>Solution: During neonatal resuscitation, chest compressions should be performed on the lower 1/3 of the sternum above the xiphisternum (option B). Chest compressions are a crucial component of cardiopulmonary resuscitation (CPR) in neonates who require resuscitation at birth. The correct hand position for chest compressions is to place two fingers (usually the index and middle fingers) just below the nipple line on the lower third of the sternum. This location ensures effective compression of the heart to maintain blood circulation. It is important to avoid compressing the xiphoid process, as it may cause injury to the liver or other structures. O CPR NORCET 4.0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On which date was the milestone of 100 crore vaccinations (Covaxin + Covishield) completed in India?</w:t>
      </w:r>
    </w:p>
    <w:p>
      <w:pPr>
        <w:spacing w:after="0" w:before="0"/>
      </w:pPr>
      <w:r>
        <w:rPr>
          <w:b w:val="0"/>
          <w:sz w:val="22"/>
        </w:rPr>
        <w:t>(a) 21.10.2021,</w:t>
      </w:r>
    </w:p>
    <w:p>
      <w:pPr>
        <w:spacing w:after="0" w:before="0"/>
      </w:pPr>
      <w:r>
        <w:rPr>
          <w:b w:val="0"/>
          <w:sz w:val="22"/>
        </w:rPr>
        <w:t>(b) 19.10.2021,</w:t>
      </w:r>
    </w:p>
    <w:p>
      <w:pPr>
        <w:spacing w:after="0" w:before="0"/>
      </w:pPr>
      <w:r>
        <w:rPr>
          <w:b w:val="0"/>
          <w:sz w:val="22"/>
        </w:rPr>
        <w:t>(c) 20.10.2021,</w:t>
      </w:r>
    </w:p>
    <w:p>
      <w:pPr>
        <w:spacing w:after="0" w:before="0"/>
      </w:pPr>
      <w:r>
        <w:rPr>
          <w:b w:val="0"/>
          <w:sz w:val="22"/>
        </w:rPr>
        <w:t>(d) 22.10.2021,</w:t>
      </w:r>
    </w:p>
    <w:p>
      <w:pPr>
        <w:spacing w:after="0" w:before="40"/>
      </w:pPr>
      <w:r>
        <w:rPr>
          <w:b/>
          <w:sz w:val="22"/>
        </w:rPr>
        <w:t>Answer: a</w:t>
      </w:r>
    </w:p>
    <w:p>
      <w:pPr>
        <w:spacing w:after="0" w:before="0"/>
      </w:pPr>
      <w:r>
        <w:rPr>
          <w:b w:val="0"/>
          <w:sz w:val="21"/>
        </w:rPr>
        <w:t>Solution: The milestone of 100 crore vaccinations (Covaxin + Covishield) in India was completed on 21.10.2021 (option a). This significant achievement marked the administration of 100 crore doses of COVID-19 vaccines in India's nationwide vaccination campaign. The combined use of Covaxin and Covishield, which are the two primary vaccines being administered in India, contributed to reaching this milestone in the ongoing efforts to protect the population against COVID-19.</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Used nasogastric tube has to be discarded In:</w:t>
      </w:r>
    </w:p>
    <w:p>
      <w:pPr>
        <w:spacing w:after="0" w:before="0"/>
      </w:pPr>
      <w:r>
        <w:rPr>
          <w:b w:val="0"/>
          <w:sz w:val="22"/>
        </w:rPr>
        <w:t>(a) Yellow bag</w:t>
      </w:r>
    </w:p>
    <w:p>
      <w:pPr>
        <w:spacing w:after="0" w:before="0"/>
      </w:pPr>
      <w:r>
        <w:rPr>
          <w:b w:val="0"/>
          <w:sz w:val="22"/>
        </w:rPr>
        <w:t>(b) Red bag</w:t>
      </w:r>
    </w:p>
    <w:p>
      <w:pPr>
        <w:spacing w:after="0" w:before="0"/>
      </w:pPr>
      <w:r>
        <w:rPr>
          <w:b w:val="0"/>
          <w:sz w:val="22"/>
        </w:rPr>
        <w:t>(c) Blue bag</w:t>
      </w:r>
    </w:p>
    <w:p>
      <w:pPr>
        <w:spacing w:after="0" w:before="0"/>
      </w:pPr>
      <w:r>
        <w:rPr>
          <w:b w:val="0"/>
          <w:sz w:val="22"/>
        </w:rPr>
        <w:t>(d) Black bag</w:t>
      </w:r>
    </w:p>
    <w:p>
      <w:pPr>
        <w:spacing w:after="0" w:before="40"/>
      </w:pPr>
      <w:r>
        <w:rPr>
          <w:b/>
          <w:sz w:val="22"/>
        </w:rPr>
        <w:t>Answer: b</w:t>
      </w:r>
    </w:p>
    <w:p>
      <w:pPr>
        <w:spacing w:after="0" w:before="0"/>
      </w:pPr>
      <w:r>
        <w:rPr>
          <w:b w:val="0"/>
          <w:sz w:val="21"/>
        </w:rPr>
        <w:t>Solution: Used nasogastric tubes have to be discarded in a red bag. Nasogastric tubes are medical devices used for enteral feeding or drainage of the stomach contents. Proper disposal of used medical equipment is essential to prevent the spread of infections and ensure safety. Red bags, also known as biohazard bags or infectious waste bags, are specifically designed for the disposal of contaminated or potentially infectious materials. They are used to segregate and contain items that may pose a biological risk. By discarding used nasogastric tubes in red bags, healthcare facilities adhere to proper waste management protocols and help maintain a safe environment for patients and healthcare workers.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Venturi mask has a high rate of O2 supply to the patient?</w:t>
      </w:r>
    </w:p>
    <w:p>
      <w:pPr>
        <w:spacing w:after="0" w:before="0"/>
      </w:pPr>
      <w:r>
        <w:rPr>
          <w:b w:val="0"/>
          <w:sz w:val="22"/>
        </w:rPr>
        <w:t>(a) 24 to 60%</w:t>
      </w:r>
    </w:p>
    <w:p>
      <w:pPr>
        <w:spacing w:after="0" w:before="0"/>
      </w:pPr>
      <w:r>
        <w:rPr>
          <w:b w:val="0"/>
          <w:sz w:val="22"/>
        </w:rPr>
        <w:t>(b) 40 to 60%</w:t>
      </w:r>
    </w:p>
    <w:p>
      <w:pPr>
        <w:spacing w:after="0" w:before="0"/>
      </w:pPr>
      <w:r>
        <w:rPr>
          <w:b w:val="0"/>
          <w:sz w:val="22"/>
        </w:rPr>
        <w:t>(c) 12 to 40%</w:t>
      </w:r>
    </w:p>
    <w:p>
      <w:pPr>
        <w:spacing w:after="0" w:before="0"/>
      </w:pPr>
      <w:r>
        <w:rPr>
          <w:b w:val="0"/>
          <w:sz w:val="22"/>
        </w:rPr>
        <w:t>(d) 60 to 85%</w:t>
      </w:r>
    </w:p>
    <w:p>
      <w:pPr>
        <w:spacing w:after="0" w:before="40"/>
      </w:pPr>
      <w:r>
        <w:rPr>
          <w:b/>
          <w:sz w:val="22"/>
        </w:rPr>
        <w:t>Answer: a</w:t>
      </w:r>
    </w:p>
    <w:p>
      <w:pPr>
        <w:spacing w:after="0" w:before="0"/>
      </w:pPr>
      <w:r>
        <w:rPr>
          <w:b w:val="0"/>
          <w:sz w:val="21"/>
        </w:rPr>
        <w:t>Solution: Rationale: Delivers 24-60% oxygen Flow rate: Varies with colour. Venturi masks are often used in COPD, where it is important not to over-oxygenate the patient. Types: BLUE = 2-4L/min = 24% O2 WHITE = 4-6L/min = 28% O2 YELLOW = 8-10L/min = 35% O2 RED = 10-12L/min = 40% O2 GREEN = 12-15L/min = 60% O2 Kozier &amp; Erb's fundamentals of nursing, 10th ed. P. 1261</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compression to ventilation ratio in infant during neonatal resuscitation?</w:t>
      </w:r>
    </w:p>
    <w:p>
      <w:pPr>
        <w:spacing w:after="0" w:before="0"/>
      </w:pPr>
      <w:r>
        <w:rPr>
          <w:b w:val="0"/>
          <w:sz w:val="22"/>
        </w:rPr>
        <w:t>(a) 3:1</w:t>
      </w:r>
    </w:p>
    <w:p>
      <w:pPr>
        <w:spacing w:after="0" w:before="0"/>
      </w:pPr>
      <w:r>
        <w:rPr>
          <w:b w:val="0"/>
          <w:sz w:val="22"/>
        </w:rPr>
        <w:t>(b) 15:2</w:t>
      </w:r>
    </w:p>
    <w:p>
      <w:pPr>
        <w:spacing w:after="0" w:before="0"/>
      </w:pPr>
      <w:r>
        <w:rPr>
          <w:b w:val="0"/>
          <w:sz w:val="22"/>
        </w:rPr>
        <w:t>(c) 1:3</w:t>
      </w:r>
    </w:p>
    <w:p>
      <w:pPr>
        <w:spacing w:after="0" w:before="0"/>
      </w:pPr>
      <w:r>
        <w:rPr>
          <w:b w:val="0"/>
          <w:sz w:val="22"/>
        </w:rPr>
        <w:t>(d) 1:5</w:t>
      </w:r>
    </w:p>
    <w:p>
      <w:pPr>
        <w:spacing w:after="0" w:before="40"/>
      </w:pPr>
      <w:r>
        <w:rPr>
          <w:b/>
          <w:sz w:val="22"/>
        </w:rPr>
        <w:t>Answer: a</w:t>
      </w:r>
    </w:p>
    <w:p>
      <w:pPr>
        <w:spacing w:after="0" w:before="0"/>
      </w:pPr>
      <w:r>
        <w:rPr>
          <w:b w:val="0"/>
          <w:sz w:val="21"/>
        </w:rPr>
        <w:t>Solution: The compression to ventilation ratio in infants during neonatal resuscitation is 3:1 (option a). This means that for every three chest compressions, one ventilation (breath) is administered. Neonatal resuscitation is performed to assist newborns who are not breathing or have inadequate breathing at birth. The coordinated sequence of chest compressions and ventilations helps maintain oxygenation and circulation until the newborn can breathe spontaneously or receive advanced medical care. Understanding the CPR C FON appropriate compression to ventilation ratio is essential for healthcare providers involved in neonatal resuscitation to ensure effective and timely intervention.</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