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Which solution causes the shifting of fluid from the cell to intravascular compartment?</w:t>
      </w:r>
    </w:p>
    <w:p>
      <w:pPr>
        <w:spacing w:after="0" w:before="0"/>
      </w:pPr>
      <w:r>
        <w:rPr>
          <w:b w:val="0"/>
          <w:sz w:val="22"/>
        </w:rPr>
        <w:t>(a) Isotonic</w:t>
      </w:r>
    </w:p>
    <w:p>
      <w:pPr>
        <w:spacing w:after="0" w:before="0"/>
      </w:pPr>
      <w:r>
        <w:rPr>
          <w:b w:val="0"/>
          <w:sz w:val="22"/>
        </w:rPr>
        <w:t>(b) Hypertonic</w:t>
      </w:r>
    </w:p>
    <w:p>
      <w:pPr>
        <w:spacing w:after="0" w:before="0"/>
      </w:pPr>
      <w:r>
        <w:rPr>
          <w:b w:val="0"/>
          <w:sz w:val="22"/>
        </w:rPr>
        <w:t>(c) Hypotonic</w:t>
      </w:r>
    </w:p>
    <w:p>
      <w:pPr>
        <w:spacing w:after="0" w:before="0"/>
      </w:pPr>
      <w:r>
        <w:rPr>
          <w:b w:val="0"/>
          <w:sz w:val="22"/>
        </w:rPr>
        <w:t>(d) Diffusion</w:t>
      </w:r>
    </w:p>
    <w:p>
      <w:pPr>
        <w:spacing w:after="0" w:before="40"/>
      </w:pPr>
      <w:r>
        <w:rPr>
          <w:b/>
          <w:sz w:val="22"/>
        </w:rPr>
        <w:t>Answer: a</w:t>
      </w:r>
    </w:p>
    <w:p>
      <w:pPr>
        <w:spacing w:after="0" w:before="0"/>
      </w:pPr>
      <w:r>
        <w:rPr>
          <w:b w:val="0"/>
          <w:sz w:val="21"/>
        </w:rPr>
        <w:t>Solution: Rationale:- ° Hypertonic solutions have a higher concentration of electrolytes than plasma. When a hypertonic solution is administered intravenously, fluid shifts from the interstitial and intracellular spaces into the bloodstream (intravascular compartment) to dilute the electrolytes. Common examples of hypertonic solutions are D5 in 0.9% normal saline and D5 in lactated ringers. ° Isotonic solution: Isotonic solutions contain an electrolyte balance similar to plasma in the bloodstream. When an isotonic solution is administered, the fluid volume of the patient is increased without a fluid shift. Common examples of isotonic solutions are 0.9% normal saline and lactated ringers. IV fluid ° Hypotonic solution: Hypotonic solutions have a lower concentration of electrolytes than plasma. When a hypotonic solution is administered intravenously, fluid shifts out of the bloodstream to the area of higher concentration in the interstitial and intracellular spaces. A common example of a hypotonic solution is 0.45% normal saline (half normal saline).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hormonal contraceptive method should not be used in breast feeding mother?</w:t>
      </w:r>
    </w:p>
    <w:p>
      <w:pPr>
        <w:spacing w:after="0" w:before="0"/>
      </w:pPr>
      <w:r>
        <w:rPr>
          <w:b w:val="0"/>
          <w:sz w:val="22"/>
        </w:rPr>
        <w:t>(a) Mini pills</w:t>
      </w:r>
    </w:p>
    <w:p>
      <w:pPr>
        <w:spacing w:after="0" w:before="0"/>
      </w:pPr>
      <w:r>
        <w:rPr>
          <w:b w:val="0"/>
          <w:sz w:val="22"/>
        </w:rPr>
        <w:t>(b) Combined OCP</w:t>
      </w:r>
    </w:p>
    <w:p>
      <w:pPr>
        <w:spacing w:after="0" w:before="0"/>
      </w:pPr>
      <w:r>
        <w:rPr>
          <w:b w:val="0"/>
          <w:sz w:val="22"/>
        </w:rPr>
        <w:t>(c) DMPAA</w:t>
      </w:r>
    </w:p>
    <w:p>
      <w:pPr>
        <w:spacing w:after="0" w:before="0"/>
      </w:pPr>
      <w:r>
        <w:rPr>
          <w:b w:val="0"/>
          <w:sz w:val="22"/>
        </w:rPr>
        <w:t>(d) None</w:t>
      </w:r>
    </w:p>
    <w:p>
      <w:pPr>
        <w:spacing w:after="0" w:before="40"/>
      </w:pPr>
      <w:r>
        <w:rPr>
          <w:b/>
          <w:sz w:val="22"/>
        </w:rPr>
        <w:t>Answer: b</w:t>
      </w:r>
    </w:p>
    <w:p>
      <w:pPr>
        <w:spacing w:after="0" w:before="0"/>
      </w:pPr>
      <w:r>
        <w:rPr>
          <w:b w:val="0"/>
          <w:sz w:val="21"/>
        </w:rPr>
        <w:t>Solution: The hormonal contraceptive method that should not be used in breastfeeding mothers is combined oral contraceptive pills (OCP) (option b). Combined OCP contains synthetic forms of estrogen and progestin hormones, which can potentially reduce milk production and affect the composition of breast milk. It is generally recommended to avoid combined OCP during the early postpartum period, especially if exclusive breastfeeding is practiced. However, there are other hormonal contraceptive options that can be used safely during breastfeeding, such as mini pills (progestin-only pills) or long-acting reversible contraceptives like the progestin-only implant or injectables. The choice of contraceptive method should be discussed with a healthcare provider, considering individual circumstances and preferences.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typical angle between the needle and the surface of the skin during an intramuscular injection technique?</w:t>
      </w:r>
    </w:p>
    <w:p>
      <w:pPr>
        <w:spacing w:after="0" w:before="0"/>
      </w:pPr>
      <w:r>
        <w:rPr>
          <w:b w:val="0"/>
          <w:sz w:val="22"/>
        </w:rPr>
        <w:t>(a) 15 degree</w:t>
      </w:r>
    </w:p>
    <w:p>
      <w:pPr>
        <w:spacing w:after="0" w:before="0"/>
      </w:pPr>
      <w:r>
        <w:rPr>
          <w:b w:val="0"/>
          <w:sz w:val="22"/>
        </w:rPr>
        <w:t>(b) 60 degree</w:t>
      </w:r>
    </w:p>
    <w:p>
      <w:pPr>
        <w:spacing w:after="0" w:before="0"/>
      </w:pPr>
      <w:r>
        <w:rPr>
          <w:b w:val="0"/>
          <w:sz w:val="22"/>
        </w:rPr>
        <w:t>(c) 90 degree</w:t>
      </w:r>
    </w:p>
    <w:p>
      <w:pPr>
        <w:spacing w:after="0" w:before="0"/>
      </w:pPr>
      <w:r>
        <w:rPr>
          <w:b w:val="0"/>
          <w:sz w:val="22"/>
        </w:rPr>
        <w:t>(d) 45 degree</w:t>
      </w:r>
    </w:p>
    <w:p>
      <w:pPr>
        <w:spacing w:after="0" w:before="40"/>
      </w:pPr>
      <w:r>
        <w:rPr>
          <w:b/>
          <w:sz w:val="22"/>
        </w:rPr>
        <w:t>Answer: c</w:t>
      </w:r>
    </w:p>
    <w:p>
      <w:pPr>
        <w:spacing w:after="0" w:before="0"/>
      </w:pPr>
      <w:r>
        <w:rPr>
          <w:b w:val="0"/>
          <w:sz w:val="21"/>
        </w:rPr>
        <w:t>Solution: The typical angle between the needle and the surface of the skin during an intramuscular injection technique is 90 degrees, which is the correct answer (c). When administering an intramuscular injection, the needle is inserted perpendicular to the skin surface at a 90-degree angle. This angle ensures that the needle reaches the muscle layer and allows for proper deposition of the medication into the muscle tissue. It is important to maintain the correct angle to ensure accurate and effective administration of the injection.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baby is admitted to the ICU and is on ventilator support via a 4mm ET tube. What size of suction catheter should be used for this child?</w:t>
      </w:r>
    </w:p>
    <w:p>
      <w:pPr>
        <w:spacing w:after="0" w:before="0"/>
      </w:pPr>
      <w:r>
        <w:rPr>
          <w:b w:val="0"/>
          <w:sz w:val="22"/>
        </w:rPr>
        <w:t>(a) 8 Fr</w:t>
      </w:r>
    </w:p>
    <w:p>
      <w:pPr>
        <w:spacing w:after="0" w:before="0"/>
      </w:pPr>
      <w:r>
        <w:rPr>
          <w:b w:val="0"/>
          <w:sz w:val="22"/>
        </w:rPr>
        <w:t>(b) 10 Fr</w:t>
      </w:r>
    </w:p>
    <w:p>
      <w:pPr>
        <w:spacing w:after="0" w:before="0"/>
      </w:pPr>
      <w:r>
        <w:rPr>
          <w:b w:val="0"/>
          <w:sz w:val="22"/>
        </w:rPr>
        <w:t>(c) 12 Fr</w:t>
      </w:r>
    </w:p>
    <w:p>
      <w:pPr>
        <w:spacing w:after="0" w:before="0"/>
      </w:pPr>
      <w:r>
        <w:rPr>
          <w:b w:val="0"/>
          <w:sz w:val="22"/>
        </w:rPr>
        <w:t>(d) 14 Fr</w:t>
      </w:r>
    </w:p>
    <w:p>
      <w:pPr>
        <w:spacing w:after="0" w:before="40"/>
      </w:pPr>
      <w:r>
        <w:rPr>
          <w:b/>
          <w:sz w:val="22"/>
        </w:rPr>
        <w:t>Answer: a</w:t>
      </w:r>
    </w:p>
    <w:p>
      <w:pPr>
        <w:spacing w:after="0" w:before="0"/>
      </w:pPr>
      <w:r>
        <w:rPr>
          <w:b w:val="0"/>
          <w:sz w:val="21"/>
        </w:rPr>
        <w:t>Solution: methods of family planwing [OBG) Suction catheter &gt; Important tubing) C For a baby admitted to the ICU on ventilator support via a 4mm endotracheal (ET) tube, the appropriate size of suction catheter to be used is 8 Fr (French) (option a). The size of a suction catheter is determined by its French size, which corresponds to the external diameter of the catheter. The French scale is commonly used for sizing various medical devices, including suction catheters. In this case, an 8 Fr suction catheter is suitable for a 4mm ET tube. The suction catheter is used to clear secretions or blockages from the airway while the baby is on ventilator support, ensuring effective ventilation and oxygenation.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most commonly used suction catheter size in adult males?</w:t>
      </w:r>
    </w:p>
    <w:p>
      <w:pPr>
        <w:spacing w:after="0" w:before="0"/>
      </w:pPr>
      <w:r>
        <w:rPr>
          <w:b w:val="0"/>
          <w:sz w:val="22"/>
        </w:rPr>
        <w:t>(a) 7 Fr</w:t>
      </w:r>
    </w:p>
    <w:p>
      <w:pPr>
        <w:spacing w:after="0" w:before="0"/>
      </w:pPr>
      <w:r>
        <w:rPr>
          <w:b w:val="0"/>
          <w:sz w:val="22"/>
        </w:rPr>
        <w:t>(b) 8 Fr</w:t>
      </w:r>
    </w:p>
    <w:p>
      <w:pPr>
        <w:spacing w:after="0" w:before="0"/>
      </w:pPr>
      <w:r>
        <w:rPr>
          <w:b w:val="0"/>
          <w:sz w:val="22"/>
        </w:rPr>
        <w:t>(c) 10 Fr</w:t>
      </w:r>
    </w:p>
    <w:p>
      <w:pPr>
        <w:spacing w:after="0" w:before="0"/>
      </w:pPr>
      <w:r>
        <w:rPr>
          <w:b w:val="0"/>
          <w:sz w:val="22"/>
        </w:rPr>
        <w:t>(d) 12 Fr</w:t>
      </w:r>
    </w:p>
    <w:p>
      <w:pPr>
        <w:spacing w:after="0" w:before="40"/>
      </w:pPr>
      <w:r>
        <w:rPr>
          <w:b/>
          <w:sz w:val="22"/>
        </w:rPr>
        <w:t>Answer: d</w:t>
      </w:r>
    </w:p>
    <w:p>
      <w:pPr>
        <w:spacing w:after="0" w:before="0"/>
      </w:pPr>
      <w:r>
        <w:rPr>
          <w:b w:val="0"/>
          <w:sz w:val="21"/>
        </w:rPr>
        <w:t>Solution: The most commonly used suction catheter size in adult males is 12 Fr (French) (option d). Suction catheters are used to remove secretions or blockages from the respiratory tract. The French size of a suction catheter corresponds to its external diameter. Different sizes are available to accommodate various patient populations and clinical needs. In adult males, a 12 Fr suction catheter is commonly used due to the larger airway diameter compared to pediatric or smaller adult populations. The Melicort catheter [ important Tubing) suction cathes ° Important tubing) FON appropriate selection of suction catheter size ensures effective and safe suctioning of the respiratory tract to maintain airway patency.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occupational diseases is called Anthracosis?</w:t>
      </w:r>
    </w:p>
    <w:p>
      <w:pPr>
        <w:spacing w:after="0" w:before="0"/>
      </w:pPr>
      <w:r>
        <w:rPr>
          <w:b w:val="0"/>
          <w:sz w:val="22"/>
        </w:rPr>
        <w:t>(a) Silica dust</w:t>
      </w:r>
    </w:p>
    <w:p>
      <w:pPr>
        <w:spacing w:after="0" w:before="0"/>
      </w:pPr>
      <w:r>
        <w:rPr>
          <w:b w:val="0"/>
          <w:sz w:val="22"/>
        </w:rPr>
        <w:t>(b) Asbestosis</w:t>
      </w:r>
    </w:p>
    <w:p>
      <w:pPr>
        <w:spacing w:after="0" w:before="0"/>
      </w:pPr>
      <w:r>
        <w:rPr>
          <w:b w:val="0"/>
          <w:sz w:val="22"/>
        </w:rPr>
        <w:t>(c) Cotton dust</w:t>
      </w:r>
    </w:p>
    <w:p>
      <w:pPr>
        <w:spacing w:after="0" w:before="0"/>
      </w:pPr>
      <w:r>
        <w:rPr>
          <w:b w:val="0"/>
          <w:sz w:val="22"/>
        </w:rPr>
        <w:t>(d) Coal dust</w:t>
      </w:r>
    </w:p>
    <w:p>
      <w:pPr>
        <w:spacing w:after="0" w:before="40"/>
      </w:pPr>
      <w:r>
        <w:rPr>
          <w:b/>
          <w:sz w:val="22"/>
        </w:rPr>
        <w:t>Answer: d</w:t>
      </w:r>
    </w:p>
    <w:p>
      <w:pPr>
        <w:spacing w:after="0" w:before="0"/>
      </w:pPr>
      <w:r>
        <w:rPr>
          <w:b w:val="0"/>
          <w:sz w:val="21"/>
        </w:rPr>
        <w:t>Solution: Anthracosis is an occupational lung disease that is caused by the inhalation of coal dust. Over time, the coal dust can build up in the lungs and cause inflammation and scarring, leading to symptoms such as coughing, shortness of breath, and chest pain. Anthracosis is a type of pneumoconiosis, which is a group of lung diseases caused by the inhalation of dust particles. Other types of pneumoconiosis include silicosis, caused by the inhalation of silica dust, and asbestosis, caused by the inhalation of asbestos fibers.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Corona virus has spread worldwide. This is known as:</w:t>
      </w:r>
    </w:p>
    <w:p>
      <w:pPr>
        <w:spacing w:after="0" w:before="0"/>
      </w:pPr>
      <w:r>
        <w:rPr>
          <w:b w:val="0"/>
          <w:sz w:val="22"/>
        </w:rPr>
        <w:t>(a) Epidemic</w:t>
      </w:r>
    </w:p>
    <w:p>
      <w:pPr>
        <w:spacing w:after="0" w:before="0"/>
      </w:pPr>
      <w:r>
        <w:rPr>
          <w:b w:val="0"/>
          <w:sz w:val="22"/>
        </w:rPr>
        <w:t>(b) Pandemic</w:t>
      </w:r>
    </w:p>
    <w:p>
      <w:pPr>
        <w:spacing w:after="0" w:before="0"/>
      </w:pPr>
      <w:r>
        <w:rPr>
          <w:b w:val="0"/>
          <w:sz w:val="22"/>
        </w:rPr>
        <w:t>(c) Zoonotic</w:t>
      </w:r>
    </w:p>
    <w:p>
      <w:pPr>
        <w:spacing w:after="0" w:before="0"/>
      </w:pPr>
      <w:r>
        <w:rPr>
          <w:b w:val="0"/>
          <w:sz w:val="22"/>
        </w:rPr>
        <w:t>(d) Endemic</w:t>
      </w:r>
    </w:p>
    <w:p>
      <w:pPr>
        <w:spacing w:after="0" w:before="40"/>
      </w:pPr>
      <w:r>
        <w:rPr>
          <w:b/>
          <w:sz w:val="22"/>
        </w:rPr>
        <w:t>Answer: b</w:t>
      </w:r>
    </w:p>
    <w:p>
      <w:pPr>
        <w:spacing w:after="0" w:before="0"/>
      </w:pPr>
      <w:r>
        <w:rPr>
          <w:b w:val="0"/>
          <w:sz w:val="21"/>
        </w:rPr>
        <w:t>Solution: The worldwide spread of the coronavirus is known as a pandemic. A pandemic refers to the global outbreak of a disease that affects a significant number of people across multiple countries or continents. The COVID-19 pandemic, caused by the novel coronavirus SARS-CoV-2, was declared by the World Health Organization (WHO) on March 11, 2020. It has resulted in widespread illness, hospitalizations, and deaths, and has had far-reaching social, economic, and public health consequences. Efforts to control the pandemic have involved measures such as testing, contact tracing, quarantine, social distancing, and vaccination campaigns on a global scale.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diameter represents the smallest diameter of the true pelvis?</w:t>
      </w:r>
    </w:p>
    <w:p>
      <w:pPr>
        <w:spacing w:after="0" w:before="0"/>
      </w:pPr>
      <w:r>
        <w:rPr>
          <w:b w:val="0"/>
          <w:sz w:val="22"/>
        </w:rPr>
        <w:t>(a) Interspinous diameter</w:t>
      </w:r>
    </w:p>
    <w:p>
      <w:pPr>
        <w:spacing w:after="0" w:before="0"/>
      </w:pPr>
      <w:r>
        <w:rPr>
          <w:b w:val="0"/>
          <w:sz w:val="22"/>
        </w:rPr>
        <w:t>(b) Diagonal conjugate</w:t>
      </w:r>
    </w:p>
    <w:p>
      <w:pPr>
        <w:spacing w:after="0" w:before="0"/>
      </w:pPr>
      <w:r>
        <w:rPr>
          <w:b w:val="0"/>
          <w:sz w:val="22"/>
        </w:rPr>
        <w:t>(c) True conjugate</w:t>
      </w:r>
    </w:p>
    <w:p>
      <w:pPr>
        <w:spacing w:after="0" w:before="0"/>
      </w:pPr>
      <w:r>
        <w:rPr>
          <w:b w:val="0"/>
          <w:sz w:val="22"/>
        </w:rPr>
        <w:t>(d) Intertuberous diameter</w:t>
      </w:r>
    </w:p>
    <w:p>
      <w:pPr>
        <w:spacing w:after="0" w:before="40"/>
      </w:pPr>
      <w:r>
        <w:rPr>
          <w:b/>
          <w:sz w:val="22"/>
        </w:rPr>
        <w:t>Answer: a</w:t>
      </w:r>
    </w:p>
    <w:p>
      <w:pPr>
        <w:spacing w:after="0" w:before="0"/>
      </w:pPr>
      <w:r>
        <w:rPr>
          <w:b w:val="0"/>
          <w:sz w:val="21"/>
        </w:rPr>
        <w:t>Solution: The interspinous diameter represents the smallest diameter of the true pelvis (option a). The true pelvis is the lower portion of the pelvis that is involved in childbirth. It is divided into various diameters that are important for assessing the passage of the fetal head during labor. The interspinous diameter is measured between the two ischial spines, which represent the narrowest diameter of the true pelvis. Assessing the adequacy of the pelvic diameters is crucial in determining whether vaginal delivery is feasible or if other interventions, such as cesarean section, may be necessary.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After removal of NG tube, it can be discarded in which color of bag?</w:t>
      </w:r>
    </w:p>
    <w:p>
      <w:pPr>
        <w:spacing w:after="0" w:before="0"/>
      </w:pPr>
      <w:r>
        <w:rPr>
          <w:b w:val="0"/>
          <w:sz w:val="22"/>
        </w:rPr>
        <w:t>(a) Red</w:t>
      </w:r>
    </w:p>
    <w:p>
      <w:pPr>
        <w:spacing w:after="0" w:before="0"/>
      </w:pPr>
      <w:r>
        <w:rPr>
          <w:b w:val="0"/>
          <w:sz w:val="22"/>
        </w:rPr>
        <w:t>(b) Yellow</w:t>
      </w:r>
    </w:p>
    <w:p>
      <w:pPr>
        <w:spacing w:after="0" w:before="0"/>
      </w:pPr>
      <w:r>
        <w:rPr>
          <w:b w:val="0"/>
          <w:sz w:val="22"/>
        </w:rPr>
        <w:t>(c) Black</w:t>
      </w:r>
    </w:p>
    <w:p>
      <w:pPr>
        <w:spacing w:after="0" w:before="0"/>
      </w:pPr>
      <w:r>
        <w:rPr>
          <w:b w:val="0"/>
          <w:sz w:val="22"/>
        </w:rPr>
        <w:t>(d) Blue</w:t>
      </w:r>
    </w:p>
    <w:p>
      <w:pPr>
        <w:spacing w:after="0" w:before="40"/>
      </w:pPr>
      <w:r>
        <w:rPr>
          <w:b/>
          <w:sz w:val="22"/>
        </w:rPr>
        <w:t>Answer: a</w:t>
      </w:r>
    </w:p>
    <w:p>
      <w:pPr>
        <w:spacing w:after="0" w:before="0"/>
      </w:pPr>
      <w:r>
        <w:rPr>
          <w:b w:val="0"/>
          <w:sz w:val="21"/>
        </w:rPr>
        <w:t>Solution: After removal of an NG tube (nasogastric tube), it can be discarded in a red bag. Red bags are specifically designated for the disposal of biohazardous waste, including items that have come into contact with potentially infectious materials. NG tubes are considered biohazardous waste due to their potential for contamination with bodily fluids or pathogens. Proper disposal in a red bag helps ensure the safety of healthcare workers and minimizes the risk of transmission of infectious agents. It is important to follow local guidelines and protocols for the proper disposal of medical waste.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among the follwing is added with ORS to Control diarrhea?</w:t>
      </w:r>
    </w:p>
    <w:p>
      <w:pPr>
        <w:spacing w:after="0" w:before="0"/>
      </w:pPr>
      <w:r>
        <w:rPr>
          <w:b w:val="0"/>
          <w:sz w:val="22"/>
        </w:rPr>
        <w:t>(a) Copper</w:t>
      </w:r>
    </w:p>
    <w:p>
      <w:pPr>
        <w:spacing w:after="0" w:before="0"/>
      </w:pPr>
      <w:r>
        <w:rPr>
          <w:b w:val="0"/>
          <w:sz w:val="22"/>
        </w:rPr>
        <w:t>(b) Calcium</w:t>
      </w:r>
    </w:p>
    <w:p>
      <w:pPr>
        <w:spacing w:after="0" w:before="0"/>
      </w:pPr>
      <w:r>
        <w:rPr>
          <w:b w:val="0"/>
          <w:sz w:val="22"/>
        </w:rPr>
        <w:t>(c) Zinc</w:t>
      </w:r>
    </w:p>
    <w:p>
      <w:pPr>
        <w:spacing w:after="0" w:before="0"/>
      </w:pPr>
      <w:r>
        <w:rPr>
          <w:b w:val="0"/>
          <w:sz w:val="22"/>
        </w:rPr>
        <w:t>(d) Potassium</w:t>
      </w:r>
    </w:p>
    <w:p>
      <w:pPr>
        <w:spacing w:after="0" w:before="40"/>
      </w:pPr>
      <w:r>
        <w:rPr>
          <w:b/>
          <w:sz w:val="22"/>
        </w:rPr>
        <w:t>Answer: c</w:t>
      </w:r>
    </w:p>
    <w:p>
      <w:pPr>
        <w:spacing w:after="0" w:before="0"/>
      </w:pPr>
      <w:r>
        <w:rPr>
          <w:b w:val="0"/>
          <w:sz w:val="21"/>
        </w:rPr>
        <w:t>Solution: Zinc is added to ORS (Oral Rehydration Solution) to help control diarrhea. ORS is a solution containing a specific balance of electrolytes and glucose that is used to treat dehydration caused by diarrhea. Zinc supplementation in ORS has been found to be effective in reducing the duration and severity of diarrhea in children. Zinc plays a crucial role in the normal functioning of the immune system and helps maintain the integrity of the intestinal mucosa. It also has direct antiviral and antibacterial effects. Therefore, adding zinc to ORS can enhance its effectiveness in managing diarrhea.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BMI (Body Mass Index) range for underweight?</w:t>
      </w:r>
    </w:p>
    <w:p>
      <w:pPr>
        <w:spacing w:after="0" w:before="0"/>
      </w:pPr>
      <w:r>
        <w:rPr>
          <w:b w:val="0"/>
          <w:sz w:val="22"/>
        </w:rPr>
        <w:t>(a) &lt;18.5</w:t>
      </w:r>
    </w:p>
    <w:p>
      <w:pPr>
        <w:spacing w:after="0" w:before="0"/>
      </w:pPr>
      <w:r>
        <w:rPr>
          <w:b w:val="0"/>
          <w:sz w:val="22"/>
        </w:rPr>
        <w:t>(b) 18.5 to 24.9</w:t>
      </w:r>
    </w:p>
    <w:p>
      <w:pPr>
        <w:spacing w:after="0" w:before="0"/>
      </w:pPr>
      <w:r>
        <w:rPr>
          <w:b w:val="0"/>
          <w:sz w:val="22"/>
        </w:rPr>
        <w:t>(c) 25 to 29.9</w:t>
      </w:r>
    </w:p>
    <w:p>
      <w:pPr>
        <w:spacing w:after="0" w:before="0"/>
      </w:pPr>
      <w:r>
        <w:rPr>
          <w:b w:val="0"/>
          <w:sz w:val="22"/>
        </w:rPr>
        <w:t>(d) &gt;30</w:t>
      </w:r>
    </w:p>
    <w:p>
      <w:pPr>
        <w:spacing w:after="0" w:before="40"/>
      </w:pPr>
      <w:r>
        <w:rPr>
          <w:b/>
          <w:sz w:val="22"/>
        </w:rPr>
        <w:t>Answer: a</w:t>
      </w:r>
    </w:p>
    <w:p>
      <w:pPr>
        <w:spacing w:after="0" w:before="0"/>
      </w:pPr>
      <w:r>
        <w:rPr>
          <w:b w:val="0"/>
          <w:sz w:val="21"/>
        </w:rPr>
        <w:t>Solution: The Body Mass Index (BMI) range for underweight is less than 18.5 (option A). BMI is a commonly used measurement to assess body weight and PEM 2 Nutrition) BM I classify individuals into different weight categories. It is calculated by dividing a person's weight in kilograms by the square of their height in meters. Underweight is defined as having a BMI below 18.5. This category indicates insufficient body weight relative to height and may be indicative of malnutrition or other underlying health issues. Monitoring BMI helps healthcare professionals assess nutritional status, plan interventions, and monitor changes in weight over time.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All of the features are seen in anorexia nervosa, except?</w:t>
      </w:r>
    </w:p>
    <w:p>
      <w:pPr>
        <w:spacing w:after="0" w:before="0"/>
      </w:pPr>
      <w:r>
        <w:rPr>
          <w:b w:val="0"/>
          <w:sz w:val="22"/>
        </w:rPr>
        <w:t>(a) Osteoporosis</w:t>
      </w:r>
    </w:p>
    <w:p>
      <w:pPr>
        <w:spacing w:after="0" w:before="0"/>
      </w:pPr>
      <w:r>
        <w:rPr>
          <w:b w:val="0"/>
          <w:sz w:val="22"/>
        </w:rPr>
        <w:t>(b) Myocardial hypertrophy</w:t>
      </w:r>
    </w:p>
    <w:p>
      <w:pPr>
        <w:spacing w:after="0" w:before="0"/>
      </w:pPr>
      <w:r>
        <w:rPr>
          <w:b w:val="0"/>
          <w:sz w:val="22"/>
        </w:rPr>
        <w:t>(c) Electrolyte imbalance</w:t>
      </w:r>
    </w:p>
    <w:p>
      <w:pPr>
        <w:spacing w:after="0" w:before="0"/>
      </w:pPr>
      <w:r>
        <w:rPr>
          <w:b w:val="0"/>
          <w:sz w:val="22"/>
        </w:rPr>
        <w:t>(d) Amenorrhoea</w:t>
      </w:r>
    </w:p>
    <w:p>
      <w:pPr>
        <w:spacing w:after="0" w:before="40"/>
      </w:pPr>
      <w:r>
        <w:rPr>
          <w:b/>
          <w:sz w:val="22"/>
        </w:rPr>
        <w:t>Answer: b</w:t>
      </w:r>
    </w:p>
    <w:p>
      <w:pPr>
        <w:spacing w:after="0" w:before="0"/>
      </w:pPr>
      <w:r>
        <w:rPr>
          <w:b w:val="0"/>
          <w:sz w:val="21"/>
        </w:rPr>
        <w:t>Solution: Osteoporosis, electrolyte imbalance and amenorrhoea are common features of anorexia nervosa; myocardial hypertrophy is not - the heart muscle actually atrophies in starvation.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a patient diagnosed with acute renal failure, which acid-base imbalance is most commonly observed? - T raze Bar C Bio-mechanics) FON</w:t>
      </w:r>
    </w:p>
    <w:p>
      <w:pPr>
        <w:spacing w:after="0" w:before="0"/>
      </w:pPr>
      <w:r>
        <w:rPr>
          <w:b w:val="0"/>
          <w:sz w:val="22"/>
        </w:rPr>
        <w:t>(a) Metabolic acidosis</w:t>
      </w:r>
    </w:p>
    <w:p>
      <w:pPr>
        <w:spacing w:after="0" w:before="0"/>
      </w:pPr>
      <w:r>
        <w:rPr>
          <w:b w:val="0"/>
          <w:sz w:val="22"/>
        </w:rPr>
        <w:t>(b) Metabolic alkalosis</w:t>
      </w:r>
    </w:p>
    <w:p>
      <w:pPr>
        <w:spacing w:after="0" w:before="0"/>
      </w:pPr>
      <w:r>
        <w:rPr>
          <w:b w:val="0"/>
          <w:sz w:val="22"/>
        </w:rPr>
        <w:t>(c) Respiratory acidosis</w:t>
      </w:r>
    </w:p>
    <w:p>
      <w:pPr>
        <w:spacing w:after="0" w:before="0"/>
      </w:pPr>
      <w:r>
        <w:rPr>
          <w:b w:val="0"/>
          <w:sz w:val="22"/>
        </w:rPr>
        <w:t>(d) Respiratory alkalosis</w:t>
      </w:r>
    </w:p>
    <w:p>
      <w:pPr>
        <w:spacing w:after="0" w:before="40"/>
      </w:pPr>
      <w:r>
        <w:rPr>
          <w:b/>
          <w:sz w:val="22"/>
        </w:rPr>
        <w:t>Answer: a</w:t>
      </w:r>
    </w:p>
    <w:p>
      <w:pPr>
        <w:spacing w:after="0" w:before="0"/>
      </w:pPr>
      <w:r>
        <w:rPr>
          <w:b w:val="0"/>
          <w:sz w:val="21"/>
        </w:rPr>
        <w:t>Solution: In a patient diagnosed with acute renal failure, metabolic acidosis (option A) is the most commonly observed acid-base imbalance. Acute renal failure refers to the sudden loss of kidney function, leading to the accumulation of metabolic waste products and disruption of acid-base balance. The kidneys play a crucial role in maintaining the body's acid-base equilibrium. In acute renal failure, the impaired excretion of hydrogen ions and reabsorption of bicarbonate result in decreased bicarbonate levels and increased blood acidity. This leads to metabolic acidosis, characterized by a low serum bicarbonate level (bicarbonate deficit) and a decrease in blood pH. Prompt identification and management of the underlying cause of acute renal failure are important for restoring renal function and correcting the acid-base imbalance.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appropriate size of the endotracheal (ET) tube for an adult male?</w:t>
      </w:r>
    </w:p>
    <w:p>
      <w:pPr>
        <w:spacing w:after="0" w:before="0"/>
      </w:pPr>
      <w:r>
        <w:rPr>
          <w:b w:val="0"/>
          <w:sz w:val="22"/>
        </w:rPr>
        <w:t>(a) 6 mm,</w:t>
      </w:r>
    </w:p>
    <w:p>
      <w:pPr>
        <w:spacing w:after="0" w:before="0"/>
      </w:pPr>
      <w:r>
        <w:rPr>
          <w:b w:val="0"/>
          <w:sz w:val="22"/>
        </w:rPr>
        <w:t>(b) 7 mm,</w:t>
      </w:r>
    </w:p>
    <w:p>
      <w:pPr>
        <w:spacing w:after="0" w:before="0"/>
      </w:pPr>
      <w:r>
        <w:rPr>
          <w:b w:val="0"/>
          <w:sz w:val="22"/>
        </w:rPr>
        <w:t>(c) 8 mm,</w:t>
      </w:r>
    </w:p>
    <w:p>
      <w:pPr>
        <w:spacing w:after="0" w:before="0"/>
      </w:pPr>
      <w:r>
        <w:rPr>
          <w:b w:val="0"/>
          <w:sz w:val="22"/>
        </w:rPr>
        <w:t>(d) 9 mm,</w:t>
      </w:r>
    </w:p>
    <w:p>
      <w:pPr>
        <w:spacing w:after="0" w:before="40"/>
      </w:pPr>
      <w:r>
        <w:rPr>
          <w:b/>
          <w:sz w:val="22"/>
        </w:rPr>
        <w:t>Answer: c</w:t>
      </w:r>
    </w:p>
    <w:p>
      <w:pPr>
        <w:spacing w:after="0" w:before="0"/>
      </w:pPr>
      <w:r>
        <w:rPr>
          <w:b w:val="0"/>
          <w:sz w:val="21"/>
        </w:rPr>
        <w:t>Solution: The appropriate size of the endotracheal (ET) tube for an adult male is 8 mm (option C). ET tubes are used to establish an airway and facilitate mechanical ventilation in patients who are unable to breathe adequately on their own. The size of the ET tube is determined based on factors such as the patient's age, sex, and anatomical considerations. In adult males, an 8 mm ET tube is commonly used.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drug cause nausea and vomiting?</w:t>
      </w:r>
    </w:p>
    <w:p>
      <w:pPr>
        <w:spacing w:after="0" w:before="0"/>
      </w:pPr>
      <w:r>
        <w:rPr>
          <w:b w:val="0"/>
          <w:sz w:val="22"/>
        </w:rPr>
        <w:t>(a) Methotrexate</w:t>
      </w:r>
    </w:p>
    <w:p>
      <w:pPr>
        <w:spacing w:after="0" w:before="0"/>
      </w:pPr>
      <w:r>
        <w:rPr>
          <w:b w:val="0"/>
          <w:sz w:val="22"/>
        </w:rPr>
        <w:t>(b) Rifampein</w:t>
      </w:r>
    </w:p>
    <w:p>
      <w:pPr>
        <w:spacing w:after="0" w:before="0"/>
      </w:pPr>
      <w:r>
        <w:rPr>
          <w:b w:val="0"/>
          <w:sz w:val="22"/>
        </w:rPr>
        <w:t>(c) Diclofenac</w:t>
      </w:r>
    </w:p>
    <w:p>
      <w:pPr>
        <w:spacing w:after="0" w:before="0"/>
      </w:pPr>
      <w:r>
        <w:rPr>
          <w:b w:val="0"/>
          <w:sz w:val="22"/>
        </w:rPr>
        <w:t>(d) Domperidone</w:t>
      </w:r>
    </w:p>
    <w:p>
      <w:pPr>
        <w:spacing w:after="0" w:before="40"/>
      </w:pPr>
      <w:r>
        <w:rPr>
          <w:b/>
          <w:sz w:val="22"/>
        </w:rPr>
        <w:t>Answer: a</w:t>
      </w:r>
    </w:p>
    <w:p>
      <w:pPr>
        <w:spacing w:after="0" w:before="0"/>
      </w:pPr>
      <w:r>
        <w:rPr>
          <w:b w:val="0"/>
          <w:sz w:val="21"/>
        </w:rPr>
        <w:t>Solution: Methotrexate (option A) is a medication known to cause nausea and vomiting as a common side effect. Methotrexate is an immunosuppressive and anti-cancer drug used to treat various conditions, including cancer, rheumatoid arthritis, and psoriasis. Nausea and vomiting are frequent adverse effects of methotrexate therapy, particularly when administered at higher doses. These gastrointestinal symptoms can significantly impact a patient's quality of life and may require additional medication or supportive measures to manage them effectively. Close monitoring of patients receiving methotrexate and providing appropriate interventions for Anticancer drugs Concology) MSN managing nausea and vomiting are essential to ensure optimal therapeutic outcomes.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Who discovered the nasal COVID vaccine?</w:t>
      </w:r>
    </w:p>
    <w:p>
      <w:pPr>
        <w:spacing w:after="0" w:before="0"/>
      </w:pPr>
      <w:r>
        <w:rPr>
          <w:b w:val="0"/>
          <w:sz w:val="22"/>
        </w:rPr>
        <w:t>(a) Bharat biotech</w:t>
      </w:r>
    </w:p>
    <w:p>
      <w:pPr>
        <w:spacing w:after="0" w:before="0"/>
      </w:pPr>
      <w:r>
        <w:rPr>
          <w:b w:val="0"/>
          <w:sz w:val="22"/>
        </w:rPr>
        <w:t>(b) Serum institute of India</w:t>
      </w:r>
    </w:p>
    <w:p>
      <w:pPr>
        <w:spacing w:after="0" w:before="0"/>
      </w:pPr>
      <w:r>
        <w:rPr>
          <w:b w:val="0"/>
          <w:sz w:val="22"/>
        </w:rPr>
        <w:t>(c) National Institute of Virology</w:t>
      </w:r>
    </w:p>
    <w:p>
      <w:pPr>
        <w:spacing w:after="0" w:before="0"/>
      </w:pPr>
      <w:r>
        <w:rPr>
          <w:b w:val="0"/>
          <w:sz w:val="22"/>
        </w:rPr>
        <w:t>(d) AstraZeneca</w:t>
      </w:r>
    </w:p>
    <w:p>
      <w:pPr>
        <w:spacing w:after="0" w:before="40"/>
      </w:pPr>
      <w:r>
        <w:rPr>
          <w:b/>
          <w:sz w:val="22"/>
        </w:rPr>
        <w:t>Answer: a</w:t>
      </w:r>
    </w:p>
    <w:p>
      <w:pPr>
        <w:spacing w:after="0" w:before="0"/>
      </w:pPr>
      <w:r>
        <w:rPr>
          <w:b w:val="0"/>
          <w:sz w:val="21"/>
        </w:rPr>
        <w:t>Solution: The nasal COVID vaccine was discovered by Bharat Biotech. Bharat Biotech, an Indian biotechnology company, developed and manufactured a nasal vaccine for COVID-19. The vaccine, named Covaxin, is administered through the intranasal route, utilizing the nasal mucosa to stimulate an immune response against the SARS-CoV-2 virus. Covaxin has undergone clinical trials and received regulatory approvals for emergency use. The development of nasal vaccines offers an alternative and potentially more covid convenient method of immunization, particularly for individuals who may have difficulty with traditional intramuscular injections.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Bandaging of lower legs should be started from:</w:t>
      </w:r>
    </w:p>
    <w:p>
      <w:pPr>
        <w:spacing w:after="0" w:before="0"/>
      </w:pPr>
      <w:r>
        <w:rPr>
          <w:b w:val="0"/>
          <w:sz w:val="22"/>
        </w:rPr>
        <w:t>(a) Ankle</w:t>
      </w:r>
    </w:p>
    <w:p>
      <w:pPr>
        <w:spacing w:after="0" w:before="0"/>
      </w:pPr>
      <w:r>
        <w:rPr>
          <w:b w:val="0"/>
          <w:sz w:val="22"/>
        </w:rPr>
        <w:t>(b) Foot</w:t>
      </w:r>
    </w:p>
    <w:p>
      <w:pPr>
        <w:spacing w:after="0" w:before="0"/>
      </w:pPr>
      <w:r>
        <w:rPr>
          <w:b w:val="0"/>
          <w:sz w:val="22"/>
        </w:rPr>
        <w:t>(c) Knees</w:t>
      </w:r>
    </w:p>
    <w:p>
      <w:pPr>
        <w:spacing w:after="0" w:before="0"/>
      </w:pPr>
      <w:r>
        <w:rPr>
          <w:b w:val="0"/>
          <w:sz w:val="22"/>
        </w:rPr>
        <w:t>(d) Fingers</w:t>
      </w:r>
    </w:p>
    <w:p>
      <w:pPr>
        <w:spacing w:after="0" w:before="40"/>
      </w:pPr>
      <w:r>
        <w:rPr>
          <w:b/>
          <w:sz w:val="22"/>
        </w:rPr>
        <w:t>Answer: b</w:t>
      </w:r>
    </w:p>
    <w:p>
      <w:pPr>
        <w:spacing w:after="0" w:before="0"/>
      </w:pPr>
      <w:r>
        <w:rPr>
          <w:b w:val="0"/>
          <w:sz w:val="21"/>
        </w:rPr>
        <w:t>Solution: When bandaging the lower legs, it is recommended to start from the foot. Starting the bandaging process from the foot allows for proper coverage and secure fixation of the bandage. By starting at the foot, the bandage can be wrapped snugly around the ankle and then gradually extended upwards towards the calf. This technique ensures that the bandage remains in place and provides adequate support to the lower leg. Starting from the foot also helps in preventing excessive pressure at the top of the bandage, which can restrict blood circulation. Proper bandaging technique is essential in various medical and healthcare settings, such as wound care and management of edema.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Do not give irrigation (lavage) in which type of poisoning?</w:t>
      </w:r>
    </w:p>
    <w:p>
      <w:pPr>
        <w:spacing w:after="0" w:before="0"/>
      </w:pPr>
      <w:r>
        <w:rPr>
          <w:b w:val="0"/>
          <w:sz w:val="22"/>
        </w:rPr>
        <w:t>(a) Bellanodonnaposisoing</w:t>
      </w:r>
    </w:p>
    <w:p>
      <w:pPr>
        <w:spacing w:after="0" w:before="0"/>
      </w:pPr>
      <w:r>
        <w:rPr>
          <w:b w:val="0"/>
          <w:sz w:val="22"/>
        </w:rPr>
        <w:t>(b) Paracetamol poisoning</w:t>
      </w:r>
    </w:p>
    <w:p>
      <w:pPr>
        <w:spacing w:after="0" w:before="0"/>
      </w:pPr>
      <w:r>
        <w:rPr>
          <w:b w:val="0"/>
          <w:sz w:val="22"/>
        </w:rPr>
        <w:t>(c) Corrosive poisoning</w:t>
      </w:r>
    </w:p>
    <w:p>
      <w:pPr>
        <w:spacing w:after="0" w:before="0"/>
      </w:pPr>
      <w:r>
        <w:rPr>
          <w:b w:val="0"/>
          <w:sz w:val="22"/>
        </w:rPr>
        <w:t>(d) Food poisoning</w:t>
      </w:r>
    </w:p>
    <w:p>
      <w:pPr>
        <w:spacing w:after="0" w:before="40"/>
      </w:pPr>
      <w:r>
        <w:rPr>
          <w:b/>
          <w:sz w:val="22"/>
        </w:rPr>
        <w:t>Answer: c</w:t>
      </w:r>
    </w:p>
    <w:p>
      <w:pPr>
        <w:spacing w:after="0" w:before="0"/>
      </w:pPr>
      <w:r>
        <w:rPr>
          <w:b w:val="0"/>
          <w:sz w:val="21"/>
        </w:rPr>
        <w:t>Solution: Irrigation or lavage is not recommended in cases of corrosive poisoning (option C). Corrosive substances, such as strong acids or alkalis, can cause severe damage to tissues in the gastrointestinal tract. If lavage is performed, it may further damage the already injured tissues and lead to UTI &amp; Renal) MSN poisoning &amp; FON) complications. In cases of corrosive poisoning, the primary focus is on supportive care, symptom management, and immediate medical attention. Activated charcoal, supportive measures, and specific antidotes, if available, may be used as appropriate. It is important to consult a poison control center or healthcare professional for specific guidance in cases of poisoning.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bone is known as breast bone?</w:t>
      </w:r>
    </w:p>
    <w:p>
      <w:pPr>
        <w:spacing w:after="0" w:before="0"/>
      </w:pPr>
      <w:r>
        <w:rPr>
          <w:b w:val="0"/>
          <w:sz w:val="22"/>
        </w:rPr>
        <w:t>(a) Humerus</w:t>
      </w:r>
    </w:p>
    <w:p>
      <w:pPr>
        <w:spacing w:after="0" w:before="0"/>
      </w:pPr>
      <w:r>
        <w:rPr>
          <w:b w:val="0"/>
          <w:sz w:val="22"/>
        </w:rPr>
        <w:t>(b) Sternum</w:t>
      </w:r>
    </w:p>
    <w:p>
      <w:pPr>
        <w:spacing w:after="0" w:before="0"/>
      </w:pPr>
      <w:r>
        <w:rPr>
          <w:b w:val="0"/>
          <w:sz w:val="22"/>
        </w:rPr>
        <w:t>(c) Ribs</w:t>
      </w:r>
    </w:p>
    <w:p>
      <w:pPr>
        <w:spacing w:after="0" w:before="0"/>
      </w:pPr>
      <w:r>
        <w:rPr>
          <w:b w:val="0"/>
          <w:sz w:val="22"/>
        </w:rPr>
        <w:t>(d) Femur</w:t>
      </w:r>
    </w:p>
    <w:p>
      <w:pPr>
        <w:spacing w:after="0" w:before="40"/>
      </w:pPr>
      <w:r>
        <w:rPr>
          <w:b/>
          <w:sz w:val="22"/>
        </w:rPr>
        <w:t>Answer: b</w:t>
      </w:r>
    </w:p>
    <w:p>
      <w:pPr>
        <w:spacing w:after="0" w:before="0"/>
      </w:pPr>
      <w:r>
        <w:rPr>
          <w:b w:val="0"/>
          <w:sz w:val="21"/>
        </w:rPr>
        <w:t>Solution: The bone known as the breastbone is the sternum (option B). The sternum is a flat bone located in the center of the chest. It is connected to the ribs through cartilage and forms the anterior part of the rib cage. The sternum consists of three parts: the manubrium, the body, and the xiphoid process. The sternum provides protection to vital organs in the chest, including the heart and lungs. It also serves as an attachment site for various muscles involved in respiration and movement of the upper limbs.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Incubation period is measured by which central tendency?</w:t>
      </w:r>
    </w:p>
    <w:p>
      <w:pPr>
        <w:spacing w:after="0" w:before="0"/>
      </w:pPr>
      <w:r>
        <w:rPr>
          <w:b w:val="0"/>
          <w:sz w:val="22"/>
        </w:rPr>
        <w:t>(a) Mean</w:t>
      </w:r>
    </w:p>
    <w:p>
      <w:pPr>
        <w:spacing w:after="0" w:before="0"/>
      </w:pPr>
      <w:r>
        <w:rPr>
          <w:b w:val="0"/>
          <w:sz w:val="22"/>
        </w:rPr>
        <w:t>(b) Mode</w:t>
      </w:r>
    </w:p>
    <w:p>
      <w:pPr>
        <w:spacing w:after="0" w:before="0"/>
      </w:pPr>
      <w:r>
        <w:rPr>
          <w:b w:val="0"/>
          <w:sz w:val="22"/>
        </w:rPr>
        <w:t>(c) Median</w:t>
      </w:r>
    </w:p>
    <w:p>
      <w:pPr>
        <w:spacing w:after="0" w:before="0"/>
      </w:pPr>
      <w:r>
        <w:rPr>
          <w:b w:val="0"/>
          <w:sz w:val="22"/>
        </w:rPr>
        <w:t>(d) Standard deviation</w:t>
      </w:r>
    </w:p>
    <w:p>
      <w:pPr>
        <w:spacing w:after="0" w:before="40"/>
      </w:pPr>
      <w:r>
        <w:rPr>
          <w:b/>
          <w:sz w:val="22"/>
        </w:rPr>
        <w:t>Answer: c</w:t>
      </w:r>
    </w:p>
    <w:p>
      <w:pPr>
        <w:spacing w:after="0" w:before="0"/>
      </w:pPr>
      <w:r>
        <w:rPr>
          <w:b w:val="0"/>
          <w:sz w:val="21"/>
        </w:rPr>
        <w:t>Solution: The incubation period, which refers to the time between exposure to a pathogen and the onset of symptoms, is typically measured using the median as a central tendency. The median represents the middle value in a set of data when arranged in ascending or descending order. In the context of the incubation period, the median provides a measure of the central tendency that indicates the typical or most common duration of time from exposure to symptom onset. It is important to note that the incubation central Tendency C mean , median moder standard deviation (statistics) period can vary depending on the specific infectious agent and individual factors.</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