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Caudal regression syndrome primarily affects which body system?</w:t>
      </w:r>
    </w:p>
    <w:p>
      <w:pPr>
        <w:spacing w:after="0" w:before="0"/>
      </w:pPr>
      <w:r>
        <w:rPr>
          <w:b w:val="0"/>
          <w:sz w:val="22"/>
        </w:rPr>
        <w:t>(a) Nervous system</w:t>
      </w:r>
    </w:p>
    <w:p>
      <w:pPr>
        <w:spacing w:after="0" w:before="0"/>
      </w:pPr>
      <w:r>
        <w:rPr>
          <w:b w:val="0"/>
          <w:sz w:val="22"/>
        </w:rPr>
        <w:t>(b) Cardiovascular system</w:t>
      </w:r>
    </w:p>
    <w:p>
      <w:pPr>
        <w:spacing w:after="0" w:before="0"/>
      </w:pPr>
      <w:r>
        <w:rPr>
          <w:b w:val="0"/>
          <w:sz w:val="22"/>
        </w:rPr>
        <w:t>(c) Integumentry system</w:t>
      </w:r>
    </w:p>
    <w:p>
      <w:pPr>
        <w:spacing w:after="0" w:before="0"/>
      </w:pPr>
      <w:r>
        <w:rPr>
          <w:b w:val="0"/>
          <w:sz w:val="22"/>
        </w:rPr>
        <w:t>(d) Musculoskeletal system</w:t>
      </w:r>
    </w:p>
    <w:p>
      <w:pPr>
        <w:spacing w:after="0" w:before="40"/>
      </w:pPr>
      <w:r>
        <w:rPr>
          <w:b/>
          <w:sz w:val="22"/>
        </w:rPr>
        <w:t>Answer: d</w:t>
      </w:r>
    </w:p>
    <w:p>
      <w:pPr>
        <w:spacing w:after="0" w:before="0"/>
      </w:pPr>
      <w:r>
        <w:rPr>
          <w:b w:val="0"/>
          <w:sz w:val="21"/>
        </w:rPr>
        <w:t>Solution: Caudal regression syndrome primarily affects the musculoskeletal system (option D). Caudal regression syndrome is a rare congenital disorder that involves abnormal development of the lower spine and other structures in the lower body. It is characterized by the absence or underdevelopment of the tailbone (coccyx) and varying degrees of malformation in the lower spine, pelvis, and lower extremities. The nervous system (option A) can also be affected, leading to neurological deficits, but the primary impact is on the musculoskeletal system. The cardiovascular system (option B) and integumentary system (option C) may be indirectly influenced by the skeletal and neural abnormalities.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medication can cause cervical dystonia (torticollis) or neck turning to one side?</w:t>
      </w:r>
    </w:p>
    <w:p>
      <w:pPr>
        <w:spacing w:after="0" w:before="0"/>
      </w:pPr>
      <w:r>
        <w:rPr>
          <w:b w:val="0"/>
          <w:sz w:val="22"/>
        </w:rPr>
        <w:t>(a) Escitalopram</w:t>
      </w:r>
    </w:p>
    <w:p>
      <w:pPr>
        <w:spacing w:after="0" w:before="0"/>
      </w:pPr>
      <w:r>
        <w:rPr>
          <w:b w:val="0"/>
          <w:sz w:val="22"/>
        </w:rPr>
        <w:t>(b) Phenytoin</w:t>
      </w:r>
    </w:p>
    <w:p>
      <w:pPr>
        <w:spacing w:after="0" w:before="0"/>
      </w:pPr>
      <w:r>
        <w:rPr>
          <w:b w:val="0"/>
          <w:sz w:val="22"/>
        </w:rPr>
        <w:t>(c) Valproate</w:t>
      </w:r>
    </w:p>
    <w:p>
      <w:pPr>
        <w:spacing w:after="0" w:before="0"/>
      </w:pPr>
      <w:r>
        <w:rPr>
          <w:b w:val="0"/>
          <w:sz w:val="22"/>
        </w:rPr>
        <w:t>(d) Resperidone</w:t>
      </w:r>
    </w:p>
    <w:p>
      <w:pPr>
        <w:spacing w:after="0" w:before="40"/>
      </w:pPr>
      <w:r>
        <w:rPr>
          <w:b/>
          <w:sz w:val="22"/>
        </w:rPr>
        <w:t>Answer: d</w:t>
      </w:r>
    </w:p>
    <w:p>
      <w:pPr>
        <w:spacing w:after="0" w:before="0"/>
      </w:pPr>
      <w:r>
        <w:rPr>
          <w:b w:val="0"/>
          <w:sz w:val="21"/>
        </w:rPr>
        <w:t>Solution: Resperidone (option D) is a medication that can cause cervical dystonia or torticollis, which is the involuntary turning of the neck to one side. Cervical dystonia is a movement disorder characterized by abnormal muscle contractions in the neck, resulting in sustained or intermittent twisting and posturing of the head. Resperidone is an antipsychotic medication candal regression syndrome ( Nervous) 2 Neuro) MSN Resperidone (Drugs in OBG) commonly used to treat conditions such as schizophrenia and bipolar disorder. Although rare, cervical dystonia can be a side effect of resperidone treatment. Other medications, such as certain antidepressants and anti-nausea drugs, can also cause cervical dystonia as an adverse effect.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Scrubbing will be considered as:</w:t>
      </w:r>
    </w:p>
    <w:p>
      <w:pPr>
        <w:spacing w:after="0" w:before="0"/>
      </w:pPr>
      <w:r>
        <w:rPr>
          <w:b w:val="0"/>
          <w:sz w:val="22"/>
        </w:rPr>
        <w:t>(a) Chemical disinfection</w:t>
      </w:r>
    </w:p>
    <w:p>
      <w:pPr>
        <w:spacing w:after="0" w:before="0"/>
      </w:pPr>
      <w:r>
        <w:rPr>
          <w:b w:val="0"/>
          <w:sz w:val="22"/>
        </w:rPr>
        <w:t>(b) Physical disinfection</w:t>
      </w:r>
    </w:p>
    <w:p>
      <w:pPr>
        <w:spacing w:after="0" w:before="0"/>
      </w:pPr>
      <w:r>
        <w:rPr>
          <w:b w:val="0"/>
          <w:sz w:val="22"/>
        </w:rPr>
        <w:t>(c) Physical sterilization</w:t>
      </w:r>
    </w:p>
    <w:p>
      <w:pPr>
        <w:spacing w:after="0" w:before="0"/>
      </w:pPr>
      <w:r>
        <w:rPr>
          <w:b w:val="0"/>
          <w:sz w:val="22"/>
        </w:rPr>
        <w:t>(d) Chemical sterilization</w:t>
      </w:r>
    </w:p>
    <w:p>
      <w:pPr>
        <w:spacing w:after="0" w:before="40"/>
      </w:pPr>
      <w:r>
        <w:rPr>
          <w:b/>
          <w:sz w:val="22"/>
        </w:rPr>
        <w:t>Answer: a</w:t>
      </w:r>
    </w:p>
    <w:p>
      <w:pPr>
        <w:spacing w:after="0" w:before="0"/>
      </w:pPr>
      <w:r>
        <w:rPr>
          <w:b w:val="0"/>
          <w:sz w:val="21"/>
        </w:rPr>
        <w:t>Solution: Scrubbing is considered as chemical disinfection. Chemical disinfection involves the use of chemical agents to eliminate or reduce the number of microorganisms on surfaces, instruments, or equipment. Scrubbing, in the context of disinfection, refers to the mechanical action of rubbing or brushing the surface with a chemical disinfectant solution. This process helps in removing organic matter and microorganisms present on the surface. The chemical disinfectant used during scrubbing aids in killing or inhibiting the growth of microorganisms, ensuring effective disinfection. Scrubbing is commonly employed in healthcare settings to clean and disinfect medical instruments, surgical equipment, and surfaces in patient care areas. Burn umentary) &amp; Enteg MSN (Scrubbing) disinfection micro C Fundal "Disinfection, Sterilization, and Preservation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Atrio-Venous fistula Is assessed for;</w:t>
      </w:r>
    </w:p>
    <w:p>
      <w:pPr>
        <w:spacing w:after="0" w:before="0"/>
      </w:pPr>
      <w:r>
        <w:rPr>
          <w:b w:val="0"/>
          <w:sz w:val="22"/>
        </w:rPr>
        <w:t>(a) Giving IV medication</w:t>
      </w:r>
    </w:p>
    <w:p>
      <w:pPr>
        <w:spacing w:after="0" w:before="0"/>
      </w:pPr>
      <w:r>
        <w:rPr>
          <w:b w:val="0"/>
          <w:sz w:val="22"/>
        </w:rPr>
        <w:t>(b) Blood sampling</w:t>
      </w:r>
    </w:p>
    <w:p>
      <w:pPr>
        <w:spacing w:after="0" w:before="0"/>
      </w:pPr>
      <w:r>
        <w:rPr>
          <w:b w:val="0"/>
          <w:sz w:val="22"/>
        </w:rPr>
        <w:t>(c) Arterial BP</w:t>
      </w:r>
    </w:p>
    <w:p>
      <w:pPr>
        <w:spacing w:after="0" w:before="0"/>
      </w:pPr>
      <w:r>
        <w:rPr>
          <w:b w:val="0"/>
          <w:sz w:val="22"/>
        </w:rPr>
        <w:t>(d) Patency</w:t>
      </w:r>
    </w:p>
    <w:p>
      <w:pPr>
        <w:spacing w:after="0" w:before="40"/>
      </w:pPr>
      <w:r>
        <w:rPr>
          <w:b/>
          <w:sz w:val="22"/>
        </w:rPr>
        <w:t>Answer: d</w:t>
      </w:r>
    </w:p>
    <w:p>
      <w:pPr>
        <w:spacing w:after="0" w:before="0"/>
      </w:pPr>
      <w:r>
        <w:rPr>
          <w:b w:val="0"/>
          <w:sz w:val="21"/>
        </w:rPr>
        <w:t>Solution: An arteriovenous fistula is assessed for patency. An atriovenous fistula is a surgically created connection between an artery and a vein, often in the forearm, for the purpose of vascular access in hemodialysis. Patency refers to the openness or unobstructed flow within the fistula. In the context of an arteriovenous fistula, assessing for patency involves evaluating the presence and strength of a thrill (vibration) and auscultating for a bruit (audible sound) over the fistula site. These signs indicate proper blood flow through the fistula, which is essential for effective hemodialysis treatment. Regular assessment of fistula patency helps in ensuring adequate dialysis access and preventing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current name of Aurangabad in Maharashtra? Important scheme (4K)</w:t>
      </w:r>
    </w:p>
    <w:p>
      <w:pPr>
        <w:spacing w:after="0" w:before="0"/>
      </w:pPr>
      <w:r>
        <w:rPr>
          <w:b w:val="0"/>
          <w:sz w:val="22"/>
        </w:rPr>
        <w:t>(a) Sambhaji Nagar</w:t>
      </w:r>
    </w:p>
    <w:p>
      <w:pPr>
        <w:spacing w:after="0" w:before="0"/>
      </w:pPr>
      <w:r>
        <w:rPr>
          <w:b w:val="0"/>
          <w:sz w:val="22"/>
        </w:rPr>
        <w:t>(b) Dharashiv</w:t>
      </w:r>
    </w:p>
    <w:p>
      <w:pPr>
        <w:spacing w:after="0" w:before="0"/>
      </w:pPr>
      <w:r>
        <w:rPr>
          <w:b w:val="0"/>
          <w:sz w:val="22"/>
        </w:rPr>
        <w:t>(c) Mumbai</w:t>
      </w:r>
    </w:p>
    <w:p>
      <w:pPr>
        <w:spacing w:after="0" w:before="0"/>
      </w:pPr>
      <w:r>
        <w:rPr>
          <w:b w:val="0"/>
          <w:sz w:val="22"/>
        </w:rPr>
        <w:t>(d) Osmanabad</w:t>
      </w:r>
    </w:p>
    <w:p>
      <w:pPr>
        <w:spacing w:after="0" w:before="40"/>
      </w:pPr>
      <w:r>
        <w:rPr>
          <w:b/>
          <w:sz w:val="22"/>
        </w:rPr>
        <w:t>Answer: a</w:t>
      </w:r>
    </w:p>
    <w:p>
      <w:pPr>
        <w:spacing w:after="0" w:before="0"/>
      </w:pPr>
      <w:r>
        <w:rPr>
          <w:b w:val="0"/>
          <w:sz w:val="21"/>
        </w:rPr>
        <w:t>Solution: The current name of Aurangabad in Maharashtra is option A, Sambhaji Nagar. Sambhaji Nagar is the new name given to the city of Aurangabad in Maharashtra. The name change was made to honor Sambhaji, the son of the Maratha Empire's founder, Chhatrapati Shivaji Maharaj. Aurangabad was originally named after Mughal emperor Aurangzeb, and the decision to rename the city was part of an effort to recognize and celebrate Maratha history and culture. The name change reflects the cultural and historical significance of Sambhaji and symbolizes the local pride and heritage of Maharashtra.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medical devices, French size is used to denote the:</w:t>
      </w:r>
    </w:p>
    <w:p>
      <w:pPr>
        <w:spacing w:after="0" w:before="0"/>
      </w:pPr>
      <w:r>
        <w:rPr>
          <w:b w:val="0"/>
          <w:sz w:val="22"/>
        </w:rPr>
        <w:t>(a) Outer diameter</w:t>
      </w:r>
    </w:p>
    <w:p>
      <w:pPr>
        <w:spacing w:after="0" w:before="0"/>
      </w:pPr>
      <w:r>
        <w:rPr>
          <w:b w:val="0"/>
          <w:sz w:val="22"/>
        </w:rPr>
        <w:t>(b) Length</w:t>
      </w:r>
    </w:p>
    <w:p>
      <w:pPr>
        <w:spacing w:after="0" w:before="0"/>
      </w:pPr>
      <w:r>
        <w:rPr>
          <w:b w:val="0"/>
          <w:sz w:val="22"/>
        </w:rPr>
        <w:t>(c) Inner diameter</w:t>
      </w:r>
    </w:p>
    <w:p>
      <w:pPr>
        <w:spacing w:after="0" w:before="0"/>
      </w:pPr>
      <w:r>
        <w:rPr>
          <w:b w:val="0"/>
          <w:sz w:val="22"/>
        </w:rPr>
        <w:t>(d) Tip outer circumference</w:t>
      </w:r>
    </w:p>
    <w:p>
      <w:pPr>
        <w:spacing w:after="0" w:before="40"/>
      </w:pPr>
      <w:r>
        <w:rPr>
          <w:b/>
          <w:sz w:val="22"/>
        </w:rPr>
        <w:t>Answer: a</w:t>
      </w:r>
    </w:p>
    <w:p>
      <w:pPr>
        <w:spacing w:after="0" w:before="0"/>
      </w:pPr>
      <w:r>
        <w:rPr>
          <w:b w:val="0"/>
          <w:sz w:val="21"/>
        </w:rPr>
        <w:t>Solution: In medical devices, French size is used to denote the outer diameter (option A). The French scale is a common unit of measurement used for the sizing of catheters, tubes, and other medical devices. It is based on a scale in which each unit corresponds to 1/3 millimeter (0.33 mm) in diameter. Therefore, a higher French size indicates a larger outer diameter of the medical device. The French size is an important specification to ensure proper fitting and functionality of medical devices.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high fiber food?</w:t>
      </w:r>
    </w:p>
    <w:p>
      <w:pPr>
        <w:spacing w:after="0" w:before="0"/>
      </w:pPr>
      <w:r>
        <w:rPr>
          <w:b w:val="0"/>
          <w:sz w:val="22"/>
        </w:rPr>
        <w:t>(a) Wheat</w:t>
      </w:r>
    </w:p>
    <w:p>
      <w:pPr>
        <w:spacing w:after="0" w:before="0"/>
      </w:pPr>
      <w:r>
        <w:rPr>
          <w:b w:val="0"/>
          <w:sz w:val="22"/>
        </w:rPr>
        <w:t>(b) Grain</w:t>
      </w:r>
    </w:p>
    <w:p>
      <w:pPr>
        <w:spacing w:after="0" w:before="0"/>
      </w:pPr>
      <w:r>
        <w:rPr>
          <w:b w:val="0"/>
          <w:sz w:val="22"/>
        </w:rPr>
        <w:t>(c) Pulses</w:t>
      </w:r>
    </w:p>
    <w:p>
      <w:pPr>
        <w:spacing w:after="0" w:before="0"/>
      </w:pPr>
      <w:r>
        <w:rPr>
          <w:b w:val="0"/>
          <w:sz w:val="22"/>
        </w:rPr>
        <w:t>(d) Potato</w:t>
      </w:r>
    </w:p>
    <w:p>
      <w:pPr>
        <w:spacing w:after="0" w:before="40"/>
      </w:pPr>
      <w:r>
        <w:rPr>
          <w:b/>
          <w:sz w:val="22"/>
        </w:rPr>
        <w:t>Answer: a</w:t>
      </w:r>
    </w:p>
    <w:p>
      <w:pPr>
        <w:spacing w:after="0" w:before="0"/>
      </w:pPr>
      <w:r>
        <w:rPr>
          <w:b w:val="0"/>
          <w:sz w:val="21"/>
        </w:rPr>
        <w:t>Solution: Wheat, option A, is an example of high fiber food. Wheat is a cereal grain that is commonly consumed in various forms, such as whole wheat bread, pasta, and cereals. It is rich in dietary fiber, which is the indigestible part of plant foods that provides numerous health benefits. Fiber plays a crucial role in maintaining a healthy digestive system by promoting regular bowel movements, preventing constipation, and aiding in weight management. Additionally, a high-fiber diet has been associated with a reduced risk of developing chronic conditions like heart disease, diabetes, and certain types of cancer. Including high-fiber foods like wheat in the diet can contribute to overall health and well-being.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injury involving perineal tear but not the anal sphincter is classified as a:</w:t>
      </w:r>
    </w:p>
    <w:p>
      <w:pPr>
        <w:spacing w:after="0" w:before="0"/>
      </w:pPr>
      <w:r>
        <w:rPr>
          <w:b w:val="0"/>
          <w:sz w:val="22"/>
        </w:rPr>
        <w:t>(a) 1st degree</w:t>
      </w:r>
    </w:p>
    <w:p>
      <w:pPr>
        <w:spacing w:after="0" w:before="0"/>
      </w:pPr>
      <w:r>
        <w:rPr>
          <w:b w:val="0"/>
          <w:sz w:val="22"/>
        </w:rPr>
        <w:t>(b) 2nd degree</w:t>
      </w:r>
    </w:p>
    <w:p>
      <w:pPr>
        <w:spacing w:after="0" w:before="0"/>
      </w:pPr>
      <w:r>
        <w:rPr>
          <w:b w:val="0"/>
          <w:sz w:val="22"/>
        </w:rPr>
        <w:t>(c) 3rd degree</w:t>
      </w:r>
    </w:p>
    <w:p>
      <w:pPr>
        <w:spacing w:after="0" w:before="0"/>
      </w:pPr>
      <w:r>
        <w:rPr>
          <w:b w:val="0"/>
          <w:sz w:val="22"/>
        </w:rPr>
        <w:t>(d) 4th degree</w:t>
      </w:r>
    </w:p>
    <w:p>
      <w:pPr>
        <w:spacing w:after="0" w:before="40"/>
      </w:pPr>
      <w:r>
        <w:rPr>
          <w:b/>
          <w:sz w:val="22"/>
        </w:rPr>
        <w:t>Answer: b</w:t>
      </w:r>
    </w:p>
    <w:p>
      <w:pPr>
        <w:spacing w:after="0" w:before="0"/>
      </w:pPr>
      <w:r>
        <w:rPr>
          <w:b w:val="0"/>
          <w:sz w:val="21"/>
        </w:rPr>
        <w:t>Solution: An injury involving perineal tear but not the anal sphincter is classified as a 2nd-degree tear (option B). Perineal tears occur during childbirth and are categorized based on the extent of tissue damage. A 2nd-degree tear involves the perineal muscles and tissues but does not extend to the anal sphincter. It is less severe compared to higher-degree tears, which involve the anal sphincter complex. Proper identification and classification of Perineal teas perineal tears are essential for appropriate management and repair to promote healing and prevent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age to start introducing complementary foods to an infant?</w:t>
      </w:r>
    </w:p>
    <w:p>
      <w:pPr>
        <w:spacing w:after="0" w:before="0"/>
      </w:pPr>
      <w:r>
        <w:rPr>
          <w:b w:val="0"/>
          <w:sz w:val="22"/>
        </w:rPr>
        <w:t>(a) 3 months</w:t>
      </w:r>
    </w:p>
    <w:p>
      <w:pPr>
        <w:spacing w:after="0" w:before="0"/>
      </w:pPr>
      <w:r>
        <w:rPr>
          <w:b w:val="0"/>
          <w:sz w:val="22"/>
        </w:rPr>
        <w:t>(b) 6 months</w:t>
      </w:r>
    </w:p>
    <w:p>
      <w:pPr>
        <w:spacing w:after="0" w:before="0"/>
      </w:pPr>
      <w:r>
        <w:rPr>
          <w:b w:val="0"/>
          <w:sz w:val="22"/>
        </w:rPr>
        <w:t>(c) 9 months</w:t>
      </w:r>
    </w:p>
    <w:p>
      <w:pPr>
        <w:spacing w:after="0" w:before="0"/>
      </w:pPr>
      <w:r>
        <w:rPr>
          <w:b w:val="0"/>
          <w:sz w:val="22"/>
        </w:rPr>
        <w:t>(d) 12 months</w:t>
      </w:r>
    </w:p>
    <w:p>
      <w:pPr>
        <w:spacing w:after="0" w:before="40"/>
      </w:pPr>
      <w:r>
        <w:rPr>
          <w:b/>
          <w:sz w:val="22"/>
        </w:rPr>
        <w:t>Answer: b</w:t>
      </w:r>
    </w:p>
    <w:p>
      <w:pPr>
        <w:spacing w:after="0" w:before="0"/>
      </w:pPr>
      <w:r>
        <w:rPr>
          <w:b w:val="0"/>
          <w:sz w:val="21"/>
        </w:rPr>
        <w:t>Solution: The recommended age to start introducing complementary foods to an infant is 6 months. Complementary foods refer to any solid or semi-solid foods introduced to the infant's diet in addition to breast milk or formula. At the age of 6 months, infants require additional nutrients that cannot be provided by breast milk or formula alone. The complementary foods should be introduced gradually, starting with small amounts and single-ingredient foods to assess any allergic reactions. The complementary foods should be soft and mashed to avoid choking hazards, and the baby should be seated upright while feeding (Perry, A. G., Potter, P. A., Ostendorf, W., &amp; Hall, A. M. (2017). Clinical nursing skills &amp; techniques.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symptoms occurs in pre-menstrual syndrome (PMS).Except?</w:t>
      </w:r>
    </w:p>
    <w:p>
      <w:pPr>
        <w:spacing w:after="0" w:before="0"/>
      </w:pPr>
      <w:r>
        <w:rPr>
          <w:b w:val="0"/>
          <w:sz w:val="22"/>
        </w:rPr>
        <w:t>(a) Constipation</w:t>
      </w:r>
    </w:p>
    <w:p>
      <w:pPr>
        <w:spacing w:after="0" w:before="0"/>
      </w:pPr>
      <w:r>
        <w:rPr>
          <w:b w:val="0"/>
          <w:sz w:val="22"/>
        </w:rPr>
        <w:t>(b) Weight loss</w:t>
      </w:r>
    </w:p>
    <w:p>
      <w:pPr>
        <w:spacing w:after="0" w:before="0"/>
      </w:pPr>
      <w:r>
        <w:rPr>
          <w:b w:val="0"/>
          <w:sz w:val="22"/>
        </w:rPr>
        <w:t>(c) Breast tendemess</w:t>
      </w:r>
    </w:p>
    <w:p>
      <w:pPr>
        <w:spacing w:after="0" w:before="0"/>
      </w:pPr>
      <w:r>
        <w:rPr>
          <w:b w:val="0"/>
          <w:sz w:val="22"/>
        </w:rPr>
        <w:t>(d) Abdomen Pain &amp; bloating</w:t>
      </w:r>
    </w:p>
    <w:p>
      <w:pPr>
        <w:spacing w:after="0" w:before="40"/>
      </w:pPr>
      <w:r>
        <w:rPr>
          <w:b/>
          <w:sz w:val="22"/>
        </w:rPr>
        <w:t>Answer: b</w:t>
      </w:r>
    </w:p>
    <w:p>
      <w:pPr>
        <w:spacing w:after="0" w:before="0"/>
      </w:pPr>
      <w:r>
        <w:rPr>
          <w:b w:val="0"/>
          <w:sz w:val="21"/>
        </w:rPr>
        <w:t>Solution: Weight loss (option B) is not typically considered a symptom of premenstrual syndrome (PMS). PMS refers to a combination of physical, emotional, and behavioral symptoms that occur in the days or weeks leading up to menstruation in many women. Common symptoms of PMS include bloating, breast tenderness, mood swings, irritability, fatigue, food cravings, and abdominal pain. However, weight loss is not a recognized symptom of PMS. It is important to note that the severity and specific symptoms of PMS can vary among individuals. If someone experiences significant or disruptive symptoms related to their menstrual cycle, it is advisable to consult a healthcare provider for evaluation and management.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bus related to bus depo then aeroplane is related to?</w:t>
      </w:r>
    </w:p>
    <w:p>
      <w:pPr>
        <w:spacing w:after="0" w:before="0"/>
      </w:pPr>
      <w:r>
        <w:rPr>
          <w:b w:val="0"/>
          <w:sz w:val="22"/>
        </w:rPr>
        <w:t>(a) Airport</w:t>
      </w:r>
    </w:p>
    <w:p>
      <w:pPr>
        <w:spacing w:after="0" w:before="0"/>
      </w:pPr>
      <w:r>
        <w:rPr>
          <w:b w:val="0"/>
          <w:sz w:val="22"/>
        </w:rPr>
        <w:t>(b) Yard</w:t>
      </w:r>
    </w:p>
    <w:p>
      <w:pPr>
        <w:spacing w:after="0" w:before="0"/>
      </w:pPr>
      <w:r>
        <w:rPr>
          <w:b w:val="0"/>
          <w:sz w:val="22"/>
        </w:rPr>
        <w:t>(c) Garage</w:t>
      </w:r>
    </w:p>
    <w:p>
      <w:pPr>
        <w:spacing w:after="0" w:before="0"/>
      </w:pPr>
      <w:r>
        <w:rPr>
          <w:b w:val="0"/>
          <w:sz w:val="22"/>
        </w:rPr>
        <w:t>(d) Hangar</w:t>
      </w:r>
    </w:p>
    <w:p>
      <w:pPr>
        <w:spacing w:after="0" w:before="40"/>
      </w:pPr>
      <w:r>
        <w:rPr>
          <w:b/>
          <w:sz w:val="22"/>
        </w:rPr>
        <w:t>Answer: d</w:t>
      </w:r>
    </w:p>
    <w:p>
      <w:pPr>
        <w:spacing w:after="0" w:before="0"/>
      </w:pPr>
      <w:r>
        <w:rPr>
          <w:b w:val="0"/>
          <w:sz w:val="21"/>
        </w:rPr>
        <w:t>Solution: If a bus is related to the bus depot, then an airplane is related to a hangar (option D). A bus depot is a designated area where buses are parked, maintained, and serviced. Similarly, an airplane is commonly stored, maintained, and sheltered in a hangar. A hangar is a large structure or C CHN OBG) Matching (Reasoning) building specifically designed to accommodate and protect aircraft. It provides storage, maintenance facilities, and a controlled environment for airplanes. Just as a bus is associated with a bus depot, an airplane is associated with a hangar for proper storage, maintenance, and security.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scale is used to measure OCD?</w:t>
      </w:r>
    </w:p>
    <w:p>
      <w:pPr>
        <w:spacing w:after="0" w:before="0"/>
      </w:pPr>
      <w:r>
        <w:rPr>
          <w:b w:val="0"/>
          <w:sz w:val="22"/>
        </w:rPr>
        <w:t>(a) NIMH-GOCS</w:t>
      </w:r>
    </w:p>
    <w:p>
      <w:pPr>
        <w:spacing w:after="0" w:before="0"/>
      </w:pPr>
      <w:r>
        <w:rPr>
          <w:b w:val="0"/>
          <w:sz w:val="22"/>
        </w:rPr>
        <w:t>(b) HRSD</w:t>
      </w:r>
    </w:p>
    <w:p>
      <w:pPr>
        <w:spacing w:after="0" w:before="0"/>
      </w:pPr>
      <w:r>
        <w:rPr>
          <w:b w:val="0"/>
          <w:sz w:val="22"/>
        </w:rPr>
        <w:t>(c) PANSS</w:t>
      </w:r>
    </w:p>
    <w:p>
      <w:pPr>
        <w:spacing w:after="0" w:before="0"/>
      </w:pPr>
      <w:r>
        <w:rPr>
          <w:b w:val="0"/>
          <w:sz w:val="22"/>
        </w:rPr>
        <w:t>(d) BPRS</w:t>
      </w:r>
    </w:p>
    <w:p>
      <w:pPr>
        <w:spacing w:after="0" w:before="40"/>
      </w:pPr>
      <w:r>
        <w:rPr>
          <w:b/>
          <w:sz w:val="22"/>
        </w:rPr>
        <w:t>Answer: a</w:t>
      </w:r>
    </w:p>
    <w:p>
      <w:pPr>
        <w:spacing w:after="0" w:before="0"/>
      </w:pPr>
      <w:r>
        <w:rPr>
          <w:b w:val="0"/>
          <w:sz w:val="21"/>
        </w:rPr>
        <w:t>Solution: The NIMH Global Obsessive-Compulsive Scale (NIMH-GOCS) (option A) is used to measure the severity of obsessive-compulsive disorder (OCD). OCD is a mental disorder characterized by recurrent intrusive thoughts (obsessions) and repetitive behaviors or mental acts (compulsions). The NIMH-GOCS is a standardized rating scale developed by the National Institute of Mental Health to assess the severity of OCD symptoms. It includes measures of obsessions, compulsions, and associated impairment. The scale provides a quantitative assessment of symptom severity and can be used to track changes in symptoms over time or evaluate treatment response in individuals with OCD.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on NPO and receiving TPN via central line. Which of the following thing should assess by the nurse before offering oral fluids?</w:t>
      </w:r>
    </w:p>
    <w:p>
      <w:pPr>
        <w:spacing w:after="0" w:before="0"/>
      </w:pPr>
      <w:r>
        <w:rPr>
          <w:b w:val="0"/>
          <w:sz w:val="22"/>
        </w:rPr>
        <w:t>(a) Swallowing reflex</w:t>
      </w:r>
    </w:p>
    <w:p>
      <w:pPr>
        <w:spacing w:after="0" w:before="0"/>
      </w:pPr>
      <w:r>
        <w:rPr>
          <w:b w:val="0"/>
          <w:sz w:val="22"/>
        </w:rPr>
        <w:t>(b) Bowel movement</w:t>
      </w:r>
    </w:p>
    <w:p>
      <w:pPr>
        <w:spacing w:after="0" w:before="0"/>
      </w:pPr>
      <w:r>
        <w:rPr>
          <w:b w:val="0"/>
          <w:sz w:val="22"/>
        </w:rPr>
        <w:t>(c) Lung sounds</w:t>
      </w:r>
    </w:p>
    <w:p>
      <w:pPr>
        <w:spacing w:after="0" w:before="0"/>
      </w:pPr>
      <w:r>
        <w:rPr>
          <w:b w:val="0"/>
          <w:sz w:val="22"/>
        </w:rPr>
        <w:t>(d) Heart sounds</w:t>
      </w:r>
    </w:p>
    <w:p>
      <w:pPr>
        <w:spacing w:after="0" w:before="40"/>
      </w:pPr>
      <w:r>
        <w:rPr>
          <w:b/>
          <w:sz w:val="22"/>
        </w:rPr>
        <w:t>Answer: a</w:t>
      </w:r>
    </w:p>
    <w:p>
      <w:pPr>
        <w:spacing w:after="0" w:before="0"/>
      </w:pPr>
      <w:r>
        <w:rPr>
          <w:b w:val="0"/>
          <w:sz w:val="21"/>
        </w:rPr>
        <w:t>Solution: Patients receiving Total Parenteral Nutrition (TPN) via a central line are often restricted from oral intake. Before offering oral fluids, the nurse should assess the patient's swallowing reflex to ensure that the patient can safely swallow liquids without aspiration or choking. Swallowing reflex assessment can be done by performing a bedside swallow assessment or ordering a formal swallowing study.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one of the following first line drug used to managepost-resuscitation hypotension?</w:t>
      </w:r>
    </w:p>
    <w:p>
      <w:pPr>
        <w:spacing w:after="0" w:before="0"/>
      </w:pPr>
      <w:r>
        <w:rPr>
          <w:b w:val="0"/>
          <w:sz w:val="22"/>
        </w:rPr>
        <w:t>(a) ADR</w:t>
      </w:r>
    </w:p>
    <w:p>
      <w:pPr>
        <w:spacing w:after="0" w:before="0"/>
      </w:pPr>
      <w:r>
        <w:rPr>
          <w:b w:val="0"/>
          <w:sz w:val="22"/>
        </w:rPr>
        <w:t>(b) NORAD</w:t>
      </w:r>
    </w:p>
    <w:p>
      <w:pPr>
        <w:spacing w:after="0" w:before="0"/>
      </w:pPr>
      <w:r>
        <w:rPr>
          <w:b w:val="0"/>
          <w:sz w:val="22"/>
        </w:rPr>
        <w:t>(c) Dopamine</w:t>
      </w:r>
    </w:p>
    <w:p>
      <w:pPr>
        <w:spacing w:after="0" w:before="0"/>
      </w:pPr>
      <w:r>
        <w:rPr>
          <w:b w:val="0"/>
          <w:sz w:val="22"/>
        </w:rPr>
        <w:t>(d) IV Fluid</w:t>
      </w:r>
    </w:p>
    <w:p>
      <w:pPr>
        <w:spacing w:after="0" w:before="40"/>
      </w:pPr>
      <w:r>
        <w:rPr>
          <w:b/>
          <w:sz w:val="22"/>
        </w:rPr>
        <w:t>Answer: d</w:t>
      </w:r>
    </w:p>
    <w:p>
      <w:pPr>
        <w:spacing w:after="0" w:before="0"/>
      </w:pPr>
      <w:r>
        <w:rPr>
          <w:b w:val="0"/>
          <w:sz w:val="21"/>
        </w:rPr>
        <w:t>Solution: The first-line drug used to manage post-resuscitation hypotension is IV fluid (option D). Post-resuscitation hypotension refers to low blood pressure that can occur following successful resuscitation efforts after cardiac arrest or other life-threatening events. The immediate goal in managing post-resuscitation hypotension is to restore and maintain adequate blood pressure to ensure sufficient perfusion to vital organs. IV fluid administration is typically the first intervention, as it helps to increase intravascular volume and improve cardiac output. This initial fluid resuscitation aims to optimize organ perfusion and restore blood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medication should be administered to a patient who has undergone thyroidectomy and is exhibiting symptoms of carpopedal spasm?</w:t>
      </w:r>
    </w:p>
    <w:p>
      <w:pPr>
        <w:spacing w:after="0" w:before="0"/>
      </w:pPr>
      <w:r>
        <w:rPr>
          <w:b w:val="0"/>
          <w:sz w:val="22"/>
        </w:rPr>
        <w:t>(a) Calcium gluconate</w:t>
      </w:r>
    </w:p>
    <w:p>
      <w:pPr>
        <w:spacing w:after="0" w:before="0"/>
      </w:pPr>
      <w:r>
        <w:rPr>
          <w:b w:val="0"/>
          <w:sz w:val="22"/>
        </w:rPr>
        <w:t>(b) Calcium sulphate</w:t>
      </w:r>
    </w:p>
    <w:p>
      <w:pPr>
        <w:spacing w:after="0" w:before="0"/>
      </w:pPr>
      <w:r>
        <w:rPr>
          <w:b w:val="0"/>
          <w:sz w:val="22"/>
        </w:rPr>
        <w:t>(c) Magnesium gluconate</w:t>
      </w:r>
    </w:p>
    <w:p>
      <w:pPr>
        <w:spacing w:after="0" w:before="0"/>
      </w:pPr>
      <w:r>
        <w:rPr>
          <w:b w:val="0"/>
          <w:sz w:val="22"/>
        </w:rPr>
        <w:t>(d) Magnesium sulphate</w:t>
      </w:r>
    </w:p>
    <w:p>
      <w:pPr>
        <w:spacing w:after="0" w:before="40"/>
      </w:pPr>
      <w:r>
        <w:rPr>
          <w:b/>
          <w:sz w:val="22"/>
        </w:rPr>
        <w:t>Answer: a</w:t>
      </w:r>
    </w:p>
    <w:p>
      <w:pPr>
        <w:spacing w:after="0" w:before="0"/>
      </w:pPr>
      <w:r>
        <w:rPr>
          <w:b w:val="0"/>
          <w:sz w:val="21"/>
        </w:rPr>
        <w:t>Solution: Carpopedal spasm is a condition characterized by involuntary contraction of the muscles in the hands and feet, which can occur due to hypocalcemia or low levels of calcium in the blood. Calcium gluconate is the medication of choice for treating carpopedal spasm in patients who have undergone thyroidectomy. This medication is administered intravenously and works by raising the calcium levels in the blood, which helps to relieve the muscle spasms. Nurses should monitor patients who receive calcium gluconate for adverse effects, such as hypotension, bradycardia, and dysrhythmias.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helpful in reducing the risk of pregnancy-induced hypertension (PIH)?</w:t>
      </w:r>
    </w:p>
    <w:p>
      <w:pPr>
        <w:spacing w:after="0" w:before="0"/>
      </w:pPr>
      <w:r>
        <w:rPr>
          <w:b w:val="0"/>
          <w:sz w:val="22"/>
        </w:rPr>
        <w:t>(a) Ascorbic acid</w:t>
      </w:r>
    </w:p>
    <w:p>
      <w:pPr>
        <w:spacing w:after="0" w:before="0"/>
      </w:pPr>
      <w:r>
        <w:rPr>
          <w:b w:val="0"/>
          <w:sz w:val="22"/>
        </w:rPr>
        <w:t>(b) Vitamin E</w:t>
      </w:r>
    </w:p>
    <w:p>
      <w:pPr>
        <w:spacing w:after="0" w:before="0"/>
      </w:pPr>
      <w:r>
        <w:rPr>
          <w:b w:val="0"/>
          <w:sz w:val="22"/>
        </w:rPr>
        <w:t>(c) Calcium</w:t>
      </w:r>
    </w:p>
    <w:p>
      <w:pPr>
        <w:spacing w:after="0" w:before="0"/>
      </w:pPr>
      <w:r>
        <w:rPr>
          <w:b w:val="0"/>
          <w:sz w:val="22"/>
        </w:rPr>
        <w:t>(d) Folic acid</w:t>
      </w:r>
    </w:p>
    <w:p>
      <w:pPr>
        <w:spacing w:after="0" w:before="40"/>
      </w:pPr>
      <w:r>
        <w:rPr>
          <w:b/>
          <w:sz w:val="22"/>
        </w:rPr>
        <w:t>Answer: c</w:t>
      </w:r>
    </w:p>
    <w:p>
      <w:pPr>
        <w:spacing w:after="0" w:before="0"/>
      </w:pPr>
      <w:r>
        <w:rPr>
          <w:b w:val="0"/>
          <w:sz w:val="21"/>
        </w:rPr>
        <w:t>Solution: Calcium supplementation (1-2 g/day) during pregnancy reduces the risk of pregnancy-induced hypertension/pre-eclampsia; folic acid mainly prevents neural tube defects.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To prevent neonatal tetanus by TT injections during pregnancy is the?</w:t>
      </w:r>
    </w:p>
    <w:p>
      <w:pPr>
        <w:spacing w:after="0" w:before="0"/>
      </w:pPr>
      <w:r>
        <w:rPr>
          <w:b w:val="0"/>
          <w:sz w:val="22"/>
        </w:rPr>
        <w:t>(a) Primordial prevention</w:t>
      </w:r>
    </w:p>
    <w:p>
      <w:pPr>
        <w:spacing w:after="0" w:before="0"/>
      </w:pPr>
      <w:r>
        <w:rPr>
          <w:b w:val="0"/>
          <w:sz w:val="22"/>
        </w:rPr>
        <w:t>(b) Secondary prevention</w:t>
      </w:r>
    </w:p>
    <w:p>
      <w:pPr>
        <w:spacing w:after="0" w:before="0"/>
      </w:pPr>
      <w:r>
        <w:rPr>
          <w:b w:val="0"/>
          <w:sz w:val="22"/>
        </w:rPr>
        <w:t>(c) Primary prevention</w:t>
      </w:r>
    </w:p>
    <w:p>
      <w:pPr>
        <w:spacing w:after="0" w:before="0"/>
      </w:pPr>
      <w:r>
        <w:rPr>
          <w:b w:val="0"/>
          <w:sz w:val="22"/>
        </w:rPr>
        <w:t>(d) Specific protection</w:t>
      </w:r>
    </w:p>
    <w:p>
      <w:pPr>
        <w:spacing w:after="0" w:before="40"/>
      </w:pPr>
      <w:r>
        <w:rPr>
          <w:b/>
          <w:sz w:val="22"/>
        </w:rPr>
        <w:t>Answer: c</w:t>
      </w:r>
    </w:p>
    <w:p>
      <w:pPr>
        <w:spacing w:after="0" w:before="0"/>
      </w:pPr>
      <w:r>
        <w:rPr>
          <w:b w:val="0"/>
          <w:sz w:val="21"/>
        </w:rPr>
        <w:t>Solution: To prevent neonatal tetanus through tetanus toxoid (TT) injections during pregnancy is considered a primary prevention measure (option C). Neonatal tetanus is a life-threatening infection caused by the bacterium Clostridium tetani, which can enter the body through unclean practices during childbirth. Immunization of pregnant women with TT vaccines is a level of preventio primary prevention strategy aimed at protecting both the mother and the newborn. The TT vaccine stimulates the production of antibodies against the tetanus toxin, which are then passed on to the fetus, providing passive immunity during the early months of life. By preventing maternal tetanus, the risk of neonatal tetanus is significantly reduced.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Anaphylaxis (microl HPV vaccination given to protect against?</w:t>
      </w:r>
    </w:p>
    <w:p>
      <w:pPr>
        <w:spacing w:after="0" w:before="0"/>
      </w:pPr>
      <w:r>
        <w:rPr>
          <w:b w:val="0"/>
          <w:sz w:val="22"/>
        </w:rPr>
        <w:t>(a) Cervical cancer</w:t>
      </w:r>
    </w:p>
    <w:p>
      <w:pPr>
        <w:spacing w:after="0" w:before="0"/>
      </w:pPr>
      <w:r>
        <w:rPr>
          <w:b w:val="0"/>
          <w:sz w:val="22"/>
        </w:rPr>
        <w:t>(b) Squamous cell carcinoma</w:t>
      </w:r>
    </w:p>
    <w:p>
      <w:pPr>
        <w:spacing w:after="0" w:before="0"/>
      </w:pPr>
      <w:r>
        <w:rPr>
          <w:b w:val="0"/>
          <w:sz w:val="22"/>
        </w:rPr>
        <w:t>(c) Breast Cancer</w:t>
      </w:r>
    </w:p>
    <w:p>
      <w:pPr>
        <w:spacing w:after="0" w:before="0"/>
      </w:pPr>
      <w:r>
        <w:rPr>
          <w:b w:val="0"/>
          <w:sz w:val="22"/>
        </w:rPr>
        <w:t>(d) Lung cancer</w:t>
      </w:r>
    </w:p>
    <w:p>
      <w:pPr>
        <w:spacing w:after="0" w:before="40"/>
      </w:pPr>
      <w:r>
        <w:rPr>
          <w:b/>
          <w:sz w:val="22"/>
        </w:rPr>
        <w:t>Answer: a</w:t>
      </w:r>
    </w:p>
    <w:p>
      <w:pPr>
        <w:spacing w:after="0" w:before="0"/>
      </w:pPr>
      <w:r>
        <w:rPr>
          <w:b w:val="0"/>
          <w:sz w:val="21"/>
        </w:rPr>
        <w:t>Solution: HPV (Human Papillomavirus) vaccination is given to protect against cervical cancer (option A). HPV is a sexually transmitted infection that can cause various types of cancers, including cervical, vaginal, vulvar, anal, penile, and oropharyngeal cancers. The HPV vaccine helps prevent infection with the most common high-risk HPV types responsible for cervical cancer. It is most effective when administered before exposure to HPV through sexual activity. Vaccination is typically recommended for adolescents, ideally between the ages of 11 and 12, but can also be given up to age 26.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Sign of adequate perfusion?</w:t>
      </w:r>
    </w:p>
    <w:p>
      <w:pPr>
        <w:spacing w:after="0" w:before="0"/>
      </w:pPr>
      <w:r>
        <w:rPr>
          <w:b w:val="0"/>
          <w:sz w:val="22"/>
        </w:rPr>
        <w:t>(a) Mean arterial pressure 40</w:t>
      </w:r>
    </w:p>
    <w:p>
      <w:pPr>
        <w:spacing w:after="0" w:before="0"/>
      </w:pPr>
      <w:r>
        <w:rPr>
          <w:b w:val="0"/>
          <w:sz w:val="22"/>
        </w:rPr>
        <w:t>(b) CVP&gt;6</w:t>
      </w:r>
    </w:p>
    <w:p>
      <w:pPr>
        <w:spacing w:after="0" w:before="0"/>
      </w:pPr>
      <w:r>
        <w:rPr>
          <w:b w:val="0"/>
          <w:sz w:val="22"/>
        </w:rPr>
        <w:t>(c) Urine output I ml/kg</w:t>
      </w:r>
    </w:p>
    <w:p>
      <w:pPr>
        <w:spacing w:after="0" w:before="0"/>
      </w:pPr>
      <w:r>
        <w:rPr>
          <w:b w:val="0"/>
          <w:sz w:val="22"/>
        </w:rPr>
        <w:t>(d) Systolic BP 90 mm hg</w:t>
      </w:r>
    </w:p>
    <w:p>
      <w:pPr>
        <w:spacing w:after="0" w:before="40"/>
      </w:pPr>
      <w:r>
        <w:rPr>
          <w:b/>
          <w:sz w:val="22"/>
        </w:rPr>
        <w:t>Answer: c</w:t>
      </w:r>
    </w:p>
    <w:p>
      <w:pPr>
        <w:spacing w:after="0" w:before="0"/>
      </w:pPr>
      <w:r>
        <w:rPr>
          <w:b w:val="0"/>
          <w:sz w:val="21"/>
        </w:rPr>
        <w:t>Solution: Urine output of about 1 ml/kg/hr is the best bedside indicator of adequate organ perfusion in shock; a MAP of 40 mmHg indicates inadequate perfusion.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is the first indigenous vaccine developed in India?</w:t>
      </w:r>
    </w:p>
    <w:p>
      <w:pPr>
        <w:spacing w:after="0" w:before="0"/>
      </w:pPr>
      <w:r>
        <w:rPr>
          <w:b w:val="0"/>
          <w:sz w:val="22"/>
        </w:rPr>
        <w:t>(a) Covaxin</w:t>
      </w:r>
    </w:p>
    <w:p>
      <w:pPr>
        <w:spacing w:after="0" w:before="0"/>
      </w:pPr>
      <w:r>
        <w:rPr>
          <w:b w:val="0"/>
          <w:sz w:val="22"/>
        </w:rPr>
        <w:t>(b) Sputnik</w:t>
      </w:r>
    </w:p>
    <w:p>
      <w:pPr>
        <w:spacing w:after="0" w:before="0"/>
      </w:pPr>
      <w:r>
        <w:rPr>
          <w:b w:val="0"/>
          <w:sz w:val="22"/>
        </w:rPr>
        <w:t>(c) Covishild</w:t>
      </w:r>
    </w:p>
    <w:p>
      <w:pPr>
        <w:spacing w:after="0" w:before="0"/>
      </w:pPr>
      <w:r>
        <w:rPr>
          <w:b w:val="0"/>
          <w:sz w:val="22"/>
        </w:rPr>
        <w:t>(d) Moderna</w:t>
      </w:r>
    </w:p>
    <w:p>
      <w:pPr>
        <w:spacing w:after="0" w:before="40"/>
      </w:pPr>
      <w:r>
        <w:rPr>
          <w:b/>
          <w:sz w:val="22"/>
        </w:rPr>
        <w:t>Answer: a</w:t>
      </w:r>
    </w:p>
    <w:p>
      <w:pPr>
        <w:spacing w:after="0" w:before="0"/>
      </w:pPr>
      <w:r>
        <w:rPr>
          <w:b w:val="0"/>
          <w:sz w:val="21"/>
        </w:rPr>
        <w:t>Solution: The first indigenous vaccine developed in India is Covaxin. Covaxin is an indigenously developed COVID-19 vaccine manufactured by Bharat Biotech. It is an inactivated vaccine that stimulates an immune response against the SARS-CoV-2 virus. Covaxin has been granted emergency use authorization in India and has played a significant role in the country's vaccination efforts.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