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not used before ECT Procedure?</w:t>
      </w:r>
    </w:p>
    <w:p>
      <w:pPr>
        <w:spacing w:after="0" w:before="0"/>
      </w:pPr>
      <w:r>
        <w:rPr>
          <w:b w:val="0"/>
          <w:sz w:val="22"/>
        </w:rPr>
        <w:t>(a) Have light meal before the procedure</w:t>
      </w:r>
    </w:p>
    <w:p>
      <w:pPr>
        <w:spacing w:after="0" w:before="0"/>
      </w:pPr>
      <w:r>
        <w:rPr>
          <w:b w:val="0"/>
          <w:sz w:val="22"/>
        </w:rPr>
        <w:t>(b) Premedication with anticholinergic</w:t>
      </w:r>
    </w:p>
    <w:p>
      <w:pPr>
        <w:spacing w:after="0" w:before="0"/>
      </w:pPr>
      <w:r>
        <w:rPr>
          <w:b w:val="0"/>
          <w:sz w:val="22"/>
        </w:rPr>
        <w:t>(c) NPO</w:t>
      </w:r>
    </w:p>
    <w:p>
      <w:pPr>
        <w:spacing w:after="0" w:before="0"/>
      </w:pPr>
      <w:r>
        <w:rPr>
          <w:b w:val="0"/>
          <w:sz w:val="22"/>
        </w:rPr>
        <w:t>(d) Wash the oils from hair</w:t>
      </w:r>
    </w:p>
    <w:p>
      <w:pPr>
        <w:spacing w:after="0" w:before="40"/>
      </w:pPr>
      <w:r>
        <w:rPr>
          <w:b/>
          <w:sz w:val="22"/>
        </w:rPr>
        <w:t>Answer: a</w:t>
      </w:r>
    </w:p>
    <w:p>
      <w:pPr>
        <w:spacing w:after="0" w:before="0"/>
      </w:pPr>
      <w:r>
        <w:rPr>
          <w:b w:val="0"/>
          <w:sz w:val="21"/>
        </w:rPr>
        <w:t>Solution: Before the administration of electroconvulsive therapy (ECT), it is not recommended to have a light meal. The reason is that ECT requires the patient to be under general anesthesia, and having a meal prior to the procedure increases the risk of aspiration, where stomach contents can enter the lungs during anesthesia induction. Therefore, it is advised for patients to follow NPO (nothing by mouth) guidelines for a specific duration before ECT to minimize the risk of complications. "The Maudsley Prescribing Guidelines in Psychiatry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a gateway substance for substance abuse?</w:t>
      </w:r>
    </w:p>
    <w:p>
      <w:pPr>
        <w:spacing w:after="0" w:before="0"/>
      </w:pPr>
      <w:r>
        <w:rPr>
          <w:b w:val="0"/>
          <w:sz w:val="22"/>
        </w:rPr>
        <w:t>(a) Smoking</w:t>
      </w:r>
    </w:p>
    <w:p>
      <w:pPr>
        <w:spacing w:after="0" w:before="0"/>
      </w:pPr>
      <w:r>
        <w:rPr>
          <w:b w:val="0"/>
          <w:sz w:val="22"/>
        </w:rPr>
        <w:t>(b) Alcohol</w:t>
      </w:r>
    </w:p>
    <w:p>
      <w:pPr>
        <w:spacing w:after="0" w:before="0"/>
      </w:pPr>
      <w:r>
        <w:rPr>
          <w:b w:val="0"/>
          <w:sz w:val="22"/>
        </w:rPr>
        <w:t>(c) Cannabis</w:t>
      </w:r>
    </w:p>
    <w:p>
      <w:pPr>
        <w:spacing w:after="0" w:before="0"/>
      </w:pPr>
      <w:r>
        <w:rPr>
          <w:b w:val="0"/>
          <w:sz w:val="22"/>
        </w:rPr>
        <w:t>(d) All of the above</w:t>
      </w:r>
    </w:p>
    <w:p>
      <w:pPr>
        <w:spacing w:after="0" w:before="40"/>
      </w:pPr>
      <w:r>
        <w:rPr>
          <w:b/>
          <w:sz w:val="22"/>
        </w:rPr>
        <w:t>Answer: d</w:t>
      </w:r>
    </w:p>
    <w:p>
      <w:pPr>
        <w:spacing w:after="0" w:before="0"/>
      </w:pPr>
      <w:r>
        <w:rPr>
          <w:b w:val="0"/>
          <w:sz w:val="21"/>
        </w:rPr>
        <w:t>Solution: The gateway theory of substance abuse suggests that the use of certain substances can act as a gateway or entry point to the use of other, potentially more harmful substances. In the context of substance abuse, the examples provided in option D, which include smoking, alcohol, and cannabis, are all considered potential gateways to further substance abuse. The use of these substances may lead to increased tolerance, exposure to new social settings, or a desire for stronger effects, which can ultimately lead individuals to experiment with or progress to the use of other substances. It is important to address substance abuse and provide appropriate education, prevention, and intervention strategies to reduce the risk of gateway progression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abnormal breathing pattern is characterized by deeper and faster breaths followed by periods of apnea? It is usually seen in:</w:t>
      </w:r>
    </w:p>
    <w:p>
      <w:pPr>
        <w:spacing w:after="0" w:before="0"/>
      </w:pPr>
      <w:r>
        <w:rPr>
          <w:b w:val="0"/>
          <w:sz w:val="22"/>
        </w:rPr>
        <w:t>(a) Kussmaul`s respiration</w:t>
      </w:r>
    </w:p>
    <w:p>
      <w:pPr>
        <w:spacing w:after="0" w:before="0"/>
      </w:pPr>
      <w:r>
        <w:rPr>
          <w:b w:val="0"/>
          <w:sz w:val="22"/>
        </w:rPr>
        <w:t>(b) Cheyne stock respiration</w:t>
      </w:r>
    </w:p>
    <w:p>
      <w:pPr>
        <w:spacing w:after="0" w:before="0"/>
      </w:pPr>
      <w:r>
        <w:rPr>
          <w:b w:val="0"/>
          <w:sz w:val="22"/>
        </w:rPr>
        <w:t>(c) Biot`s respiration</w:t>
      </w:r>
    </w:p>
    <w:p>
      <w:pPr>
        <w:spacing w:after="0" w:before="0"/>
      </w:pPr>
      <w:r>
        <w:rPr>
          <w:b w:val="0"/>
          <w:sz w:val="22"/>
        </w:rPr>
        <w:t>(d) Paradoxical respiration</w:t>
      </w:r>
    </w:p>
    <w:p>
      <w:pPr>
        <w:spacing w:after="0" w:before="40"/>
      </w:pPr>
      <w:r>
        <w:rPr>
          <w:b/>
          <w:sz w:val="22"/>
        </w:rPr>
        <w:t>Answer: b</w:t>
      </w:r>
    </w:p>
    <w:p>
      <w:pPr>
        <w:spacing w:after="0" w:before="0"/>
      </w:pPr>
      <w:r>
        <w:rPr>
          <w:b w:val="0"/>
          <w:sz w:val="21"/>
        </w:rPr>
        <w:t>Solution: The abnormal breathing pattern characterized by deeper and faster breaths followed by periods of apnea is known as Cheyne-Stokes respiration. Cheyne-Stokes respiration is often observed in individuals with certain medical conditions, such as congestive heart failure, brainstem injury, or end-stage renal disease. It is a cyclic pattern of breathing that results from an impaired regulation of breathing by the respiratory centers in the brain. TPR BP The deeper and faster breaths represent a phase of hyperpnea, followed by a gradual decrease in breathing until apnea occurs. This pattern repeats cyclically. Cheyne-Stokes respiration is considered a clinical manifestation of compromised respiratory control.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From which type of urine sample should the collection be done for culture and sensitivity test?</w:t>
      </w:r>
    </w:p>
    <w:p>
      <w:pPr>
        <w:spacing w:after="0" w:before="0"/>
      </w:pPr>
      <w:r>
        <w:rPr>
          <w:b w:val="0"/>
          <w:sz w:val="22"/>
        </w:rPr>
        <w:t>(a) Mid stream urine</w:t>
      </w:r>
    </w:p>
    <w:p>
      <w:pPr>
        <w:spacing w:after="0" w:before="0"/>
      </w:pPr>
      <w:r>
        <w:rPr>
          <w:b w:val="0"/>
          <w:sz w:val="22"/>
        </w:rPr>
        <w:t>(b) First stream urine</w:t>
      </w:r>
    </w:p>
    <w:p>
      <w:pPr>
        <w:spacing w:after="0" w:before="0"/>
      </w:pPr>
      <w:r>
        <w:rPr>
          <w:b w:val="0"/>
          <w:sz w:val="22"/>
        </w:rPr>
        <w:t>(c) Anytime in the days</w:t>
      </w:r>
    </w:p>
    <w:p>
      <w:pPr>
        <w:spacing w:after="0" w:before="0"/>
      </w:pPr>
      <w:r>
        <w:rPr>
          <w:b w:val="0"/>
          <w:sz w:val="22"/>
        </w:rPr>
        <w:t>(d) Last stream urine</w:t>
      </w:r>
    </w:p>
    <w:p>
      <w:pPr>
        <w:spacing w:after="0" w:before="40"/>
      </w:pPr>
      <w:r>
        <w:rPr>
          <w:b/>
          <w:sz w:val="22"/>
        </w:rPr>
        <w:t>Answer: a</w:t>
      </w:r>
    </w:p>
    <w:p>
      <w:pPr>
        <w:spacing w:after="0" w:before="0"/>
      </w:pPr>
      <w:r>
        <w:rPr>
          <w:b w:val="0"/>
          <w:sz w:val="21"/>
        </w:rPr>
        <w:t>Solution: For a culture and sensitivity test, the collection of midstream urine is typically recommended. Midstream urine collection, also known as a clean-catch urine sample, involves collecting urine in the middle of the urinary stream after cleaning the genital area. This method helps to minimize contamination from the urethra and external genitalia, which could affect the accuracy of the test results. It allows for a more representative sample of the urine, particularly from the bladder, where any potential infection may be localized. Proper collection technique and adherence to Urinh sample collection sterile procedures are important to ensure the reliability of the culture and sensitivity test results.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instruction should the nurse give to a woman in the first stage of labor?</w:t>
      </w:r>
    </w:p>
    <w:p>
      <w:pPr>
        <w:spacing w:after="0" w:before="0"/>
      </w:pPr>
      <w:r>
        <w:rPr>
          <w:b w:val="0"/>
          <w:sz w:val="22"/>
        </w:rPr>
        <w:t>(a) Do not push during contraction</w:t>
      </w:r>
    </w:p>
    <w:p>
      <w:pPr>
        <w:spacing w:after="0" w:before="0"/>
      </w:pPr>
      <w:r>
        <w:rPr>
          <w:b w:val="0"/>
          <w:sz w:val="22"/>
        </w:rPr>
        <w:t>(b) To lie flat on the bed</w:t>
      </w:r>
    </w:p>
    <w:p>
      <w:pPr>
        <w:spacing w:after="0" w:before="0"/>
      </w:pPr>
      <w:r>
        <w:rPr>
          <w:b w:val="0"/>
          <w:sz w:val="22"/>
        </w:rPr>
        <w:t>(c) Do not push during each contraction</w:t>
      </w:r>
    </w:p>
    <w:p>
      <w:pPr>
        <w:spacing w:after="0" w:before="0"/>
      </w:pPr>
      <w:r>
        <w:rPr>
          <w:b w:val="0"/>
          <w:sz w:val="22"/>
        </w:rPr>
        <w:t>(d) Push after full cervical dilatation</w:t>
      </w:r>
    </w:p>
    <w:p>
      <w:pPr>
        <w:spacing w:after="0" w:before="40"/>
      </w:pPr>
      <w:r>
        <w:rPr>
          <w:b/>
          <w:sz w:val="22"/>
        </w:rPr>
        <w:t>Answer: a</w:t>
      </w:r>
    </w:p>
    <w:p>
      <w:pPr>
        <w:spacing w:after="0" w:before="0"/>
      </w:pPr>
      <w:r>
        <w:rPr>
          <w:b w:val="0"/>
          <w:sz w:val="21"/>
        </w:rPr>
        <w:t>Solution: During the first stage of labour, the nurse should instruct the woman to push after the cervix is fully dilated. The first stage of labour is characterised by regular contractions and progressive cervical dilatation. The woman should be encouraged to rest and conserve her energy during this stage of labour.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which is an early management during cardiacarrest to maximum survival?</w:t>
      </w:r>
    </w:p>
    <w:p>
      <w:pPr>
        <w:spacing w:after="0" w:before="0"/>
      </w:pPr>
      <w:r>
        <w:rPr>
          <w:b w:val="0"/>
          <w:sz w:val="22"/>
        </w:rPr>
        <w:t>(a) Early Reorganisation, early assess of Medical care, Early CPR</w:t>
      </w:r>
    </w:p>
    <w:p>
      <w:pPr>
        <w:spacing w:after="0" w:before="0"/>
      </w:pPr>
      <w:r>
        <w:rPr>
          <w:b w:val="0"/>
          <w:sz w:val="22"/>
        </w:rPr>
        <w:t>(b) Early AED, early CPR, reassure the patient for emotionalstability</w:t>
      </w:r>
    </w:p>
    <w:p>
      <w:pPr>
        <w:spacing w:after="0" w:before="0"/>
      </w:pPr>
      <w:r>
        <w:rPr>
          <w:b w:val="0"/>
          <w:sz w:val="22"/>
        </w:rPr>
        <w:t>(c) Early defibrillator, early emotional stability</w:t>
      </w:r>
    </w:p>
    <w:p>
      <w:pPr>
        <w:spacing w:after="0" w:before="0"/>
      </w:pPr>
      <w:r>
        <w:rPr>
          <w:b w:val="0"/>
          <w:sz w:val="22"/>
        </w:rPr>
        <w:t>(d) Early CPR &amp; Early discharge</w:t>
      </w:r>
    </w:p>
    <w:p>
      <w:pPr>
        <w:spacing w:after="0" w:before="40"/>
      </w:pPr>
      <w:r>
        <w:rPr>
          <w:b/>
          <w:sz w:val="22"/>
        </w:rPr>
        <w:t>Answer: a</w:t>
      </w:r>
    </w:p>
    <w:p>
      <w:pPr>
        <w:spacing w:after="0" w:before="0"/>
      </w:pPr>
      <w:r>
        <w:rPr>
          <w:b w:val="0"/>
          <w:sz w:val="21"/>
        </w:rPr>
        <w:t>Solution: The early management during cardiac arrest to maximize survival includes early recognition, early activation of the emergency response system, and early initiation of cardiopulmonary resuscitation (CPR) (option A). These actions are the foundation of the Chain of Survival, which aims to improve outcomes in cardiac arrest patients. Early CPR helps maintain blood flow and oxygenation to vital organs until advanced cardiac life support (ACLS) interventions can be implemented. Early defibrillation with an automated external defibrillator (AED) is also important in cases of shockable rhythms. Emotional support for the patient's family and reassurance can be provided during the resuscitation process, but the primary focus should be on timely and effective CPR.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G3 female history of 2 previous second trimester abortion present at 22 weeks of gestational with funnelling of cervix and length of cervix 20 mm. Most appropriate management would be?</w:t>
      </w:r>
    </w:p>
    <w:p>
      <w:pPr>
        <w:spacing w:after="0" w:before="0"/>
      </w:pPr>
      <w:r>
        <w:rPr>
          <w:b w:val="0"/>
          <w:sz w:val="22"/>
        </w:rPr>
        <w:t>(a) Apply fothergill stretch</w:t>
      </w:r>
    </w:p>
    <w:p>
      <w:pPr>
        <w:spacing w:after="0" w:before="0"/>
      </w:pPr>
      <w:r>
        <w:rPr>
          <w:b w:val="0"/>
          <w:sz w:val="22"/>
        </w:rPr>
        <w:t>(b) Apply cervical circlage</w:t>
      </w:r>
    </w:p>
    <w:p>
      <w:pPr>
        <w:spacing w:after="0" w:before="0"/>
      </w:pPr>
      <w:r>
        <w:rPr>
          <w:b w:val="0"/>
          <w:sz w:val="22"/>
        </w:rPr>
        <w:t>(c) Administer dinoprostone and bed rest</w:t>
      </w:r>
    </w:p>
    <w:p>
      <w:pPr>
        <w:spacing w:after="0" w:before="0"/>
      </w:pPr>
      <w:r>
        <w:rPr>
          <w:b w:val="0"/>
          <w:sz w:val="22"/>
        </w:rPr>
        <w:t>(d) Administer misoprostol and bed rest</w:t>
      </w:r>
    </w:p>
    <w:p>
      <w:pPr>
        <w:spacing w:after="0" w:before="40"/>
      </w:pPr>
      <w:r>
        <w:rPr>
          <w:b/>
          <w:sz w:val="22"/>
        </w:rPr>
        <w:t>Answer: b</w:t>
      </w:r>
    </w:p>
    <w:p>
      <w:pPr>
        <w:spacing w:after="0" w:before="0"/>
      </w:pPr>
      <w:r>
        <w:rPr>
          <w:b w:val="0"/>
          <w:sz w:val="21"/>
        </w:rPr>
        <w:t>Solution: In a G3 female with a history of 2 previous second-trimester abortions, presenting at 22 weeks of gestation with funneling of the cervix and a cervix length of 20 mm, the most appropriate management would be to apply cervical cerclage (option B). Cervical cerclage is a surgical procedure in which a stitch or suture is placed around the cervix to provide mechanical support and prevent premature cervical dilation. It is indicated in cases of cervical insufficiency, where the cervix is weak and at risk of premature opening. By reinforcing the cervix, cervical cerclage helps prolong the pregnancy and reduce the risk of preterm birth. abortion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correct statement regarding elevated conjugated bilirubin level in neonate?</w:t>
      </w:r>
    </w:p>
    <w:p>
      <w:pPr>
        <w:spacing w:after="0" w:before="0"/>
      </w:pPr>
      <w:r>
        <w:rPr>
          <w:b w:val="0"/>
          <w:sz w:val="22"/>
        </w:rPr>
        <w:t>(a) If more 15mg di then use phototherapy</w:t>
      </w:r>
    </w:p>
    <w:p>
      <w:pPr>
        <w:spacing w:after="0" w:before="0"/>
      </w:pPr>
      <w:r>
        <w:rPr>
          <w:b w:val="0"/>
          <w:sz w:val="22"/>
        </w:rPr>
        <w:t>(b) It always pathological condition</w:t>
      </w:r>
    </w:p>
    <w:p>
      <w:pPr>
        <w:spacing w:after="0" w:before="0"/>
      </w:pPr>
      <w:r>
        <w:rPr>
          <w:b w:val="0"/>
          <w:sz w:val="22"/>
        </w:rPr>
        <w:t>(c) It is water soluble and excretes via urination</w:t>
      </w:r>
    </w:p>
    <w:p>
      <w:pPr>
        <w:spacing w:after="0" w:before="0"/>
      </w:pPr>
      <w:r>
        <w:rPr>
          <w:b w:val="0"/>
          <w:sz w:val="22"/>
        </w:rPr>
        <w:t>(d) It is fat soluble</w:t>
      </w:r>
    </w:p>
    <w:p>
      <w:pPr>
        <w:spacing w:after="0" w:before="40"/>
      </w:pPr>
      <w:r>
        <w:rPr>
          <w:b/>
          <w:sz w:val="22"/>
        </w:rPr>
        <w:t>Answer: c</w:t>
      </w:r>
    </w:p>
    <w:p>
      <w:pPr>
        <w:spacing w:after="0" w:before="0"/>
      </w:pPr>
      <w:r>
        <w:rPr>
          <w:b w:val="0"/>
          <w:sz w:val="21"/>
        </w:rPr>
        <w:t>Solution: Rationale:- Conjugation of bilirubin to the water-soluble form involves the disruption of the hydrogen bonds, an essential process for its elimination by the liver and kidney. This is achieved by glucuronic acid conjugation of the propionic acid side chains of bilirubin. Dark urine, however, occurs when there is an excretion of an excess of water-soluble, conjugated bilirubin. This is seen in conjugated hyperbilirubinemia and signifies the presence of either liver or biliary disease. Thus the presence of bilirubin in urine will help identify subtle hepatobiliary dysfunction leading to conjugated hyperbilirubinemia, even when the measured concentration of conjugated bilirubin in serum is only slightly elevated.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bee sting a patient came into the emergency department with clinical features of anaphylaxis. Which medicine is commonly preferred in anaphylactic reaction or shock?</w:t>
      </w:r>
    </w:p>
    <w:p>
      <w:pPr>
        <w:spacing w:after="0" w:before="0"/>
      </w:pPr>
      <w:r>
        <w:rPr>
          <w:b w:val="0"/>
          <w:sz w:val="22"/>
        </w:rPr>
        <w:t>(a) Epinephrine+atropine</w:t>
      </w:r>
    </w:p>
    <w:p>
      <w:pPr>
        <w:spacing w:after="0" w:before="0"/>
      </w:pPr>
      <w:r>
        <w:rPr>
          <w:b w:val="0"/>
          <w:sz w:val="22"/>
        </w:rPr>
        <w:t>(b) Epinephrine+hydrocortisone</w:t>
      </w:r>
    </w:p>
    <w:p>
      <w:pPr>
        <w:spacing w:after="0" w:before="0"/>
      </w:pPr>
      <w:r>
        <w:rPr>
          <w:b w:val="0"/>
          <w:sz w:val="22"/>
        </w:rPr>
        <w:t>(c) Epinephrine+nor-epinephrine</w:t>
      </w:r>
    </w:p>
    <w:p>
      <w:pPr>
        <w:spacing w:after="0" w:before="0"/>
      </w:pPr>
      <w:r>
        <w:rPr>
          <w:b w:val="0"/>
          <w:sz w:val="22"/>
        </w:rPr>
        <w:t>(d) None of the above</w:t>
      </w:r>
    </w:p>
    <w:p>
      <w:pPr>
        <w:spacing w:after="0" w:before="40"/>
      </w:pPr>
      <w:r>
        <w:rPr>
          <w:b/>
          <w:sz w:val="22"/>
        </w:rPr>
        <w:t>Answer: b</w:t>
      </w:r>
    </w:p>
    <w:p>
      <w:pPr>
        <w:spacing w:after="0" w:before="0"/>
      </w:pPr>
      <w:r>
        <w:rPr>
          <w:b w:val="0"/>
          <w:sz w:val="21"/>
        </w:rPr>
        <w:t>Solution: In an anaphylactic reaction or shock, epinephrine and hydrocortisone are commonly preferred medications (option B). Epinephrine (adrenaline) acts rapidly to counteract the severe allergic response, relaxing smooth muscles, opening airways, and improving blood pressure. Hydrocortisone, a corticosteroid, helps reduce inflammation and prevent delayed hypersensitivity reactions. The combination of epinephrine and hydrocortisone addresses both the immediate and delayed phases of anaphylaxis. Prompt administration of these medications is essential in the management of anaphylactic reactions to prevent further complications and potentially save lives.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in Delhi time is 6.00pm then what is the time of England (London) on Greenwich mean time?</w:t>
      </w:r>
    </w:p>
    <w:p>
      <w:pPr>
        <w:spacing w:after="0" w:before="0"/>
      </w:pPr>
      <w:r>
        <w:rPr>
          <w:b w:val="0"/>
          <w:sz w:val="22"/>
        </w:rPr>
        <w:t>(a) 6.00pm ,</w:t>
      </w:r>
    </w:p>
    <w:p>
      <w:pPr>
        <w:spacing w:after="0" w:before="0"/>
      </w:pPr>
      <w:r>
        <w:rPr>
          <w:b w:val="0"/>
          <w:sz w:val="22"/>
        </w:rPr>
        <w:t>(b) 11.30pm,</w:t>
      </w:r>
    </w:p>
    <w:p>
      <w:pPr>
        <w:spacing w:after="0" w:before="0"/>
      </w:pPr>
      <w:r>
        <w:rPr>
          <w:b w:val="0"/>
          <w:sz w:val="22"/>
        </w:rPr>
        <w:t>(c) 12.30 pm,</w:t>
      </w:r>
    </w:p>
    <w:p>
      <w:pPr>
        <w:spacing w:after="0" w:before="0"/>
      </w:pPr>
      <w:r>
        <w:rPr>
          <w:b w:val="0"/>
          <w:sz w:val="22"/>
        </w:rPr>
        <w:t>(d) 10:30 pm,</w:t>
      </w:r>
    </w:p>
    <w:p>
      <w:pPr>
        <w:spacing w:after="0" w:before="40"/>
      </w:pPr>
      <w:r>
        <w:rPr>
          <w:b/>
          <w:sz w:val="22"/>
        </w:rPr>
        <w:t>Answer: c</w:t>
      </w:r>
    </w:p>
    <w:p>
      <w:pPr>
        <w:spacing w:after="0" w:before="0"/>
      </w:pPr>
      <w:r>
        <w:rPr>
          <w:b w:val="0"/>
          <w:sz w:val="21"/>
        </w:rPr>
        <w:t>Solution: If the time in Delhi is 6:00 PM, then the time in England (London) on Greenwich Mean Time (GMT) would be 11:30 PM. Delhi is 5 hours and 30 minutes ahead of GMT, so to determine the time in GMT, we subtract 5 hours and 30 minutes from the local time in Delhi.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who has been resuscitated from a cardio-pulmonary attack (MI), which medication would the on-duty nursing officer expect the doctor to prescribe for managing mild impairment of cardiac function and hypotension?</w:t>
      </w:r>
    </w:p>
    <w:p>
      <w:pPr>
        <w:spacing w:after="0" w:before="0"/>
      </w:pPr>
      <w:r>
        <w:rPr>
          <w:b w:val="0"/>
          <w:sz w:val="22"/>
        </w:rPr>
        <w:t>(a) Adrenaline</w:t>
      </w:r>
    </w:p>
    <w:p>
      <w:pPr>
        <w:spacing w:after="0" w:before="0"/>
      </w:pPr>
      <w:r>
        <w:rPr>
          <w:b w:val="0"/>
          <w:sz w:val="22"/>
        </w:rPr>
        <w:t>(b) Dopamine</w:t>
      </w:r>
    </w:p>
    <w:p>
      <w:pPr>
        <w:spacing w:after="0" w:before="0"/>
      </w:pPr>
      <w:r>
        <w:rPr>
          <w:b w:val="0"/>
          <w:sz w:val="22"/>
        </w:rPr>
        <w:t>(c) Dobutamine</w:t>
      </w:r>
    </w:p>
    <w:p>
      <w:pPr>
        <w:spacing w:after="0" w:before="0"/>
      </w:pPr>
      <w:r>
        <w:rPr>
          <w:b w:val="0"/>
          <w:sz w:val="22"/>
        </w:rPr>
        <w:t>(d) Atropine</w:t>
      </w:r>
    </w:p>
    <w:p>
      <w:pPr>
        <w:spacing w:after="0" w:before="40"/>
      </w:pPr>
      <w:r>
        <w:rPr>
          <w:b/>
          <w:sz w:val="22"/>
        </w:rPr>
        <w:t>Answer: a</w:t>
      </w:r>
    </w:p>
    <w:p>
      <w:pPr>
        <w:spacing w:after="0" w:before="0"/>
      </w:pPr>
      <w:r>
        <w:rPr>
          <w:b w:val="0"/>
          <w:sz w:val="21"/>
        </w:rPr>
        <w:t>Solution: In a patient who has been resuscitated from a cardio-pulmonary attack (MI), the on-duty nursing officer would expect the doctor to prescribe adrenaline (epinephrine) for managing mild impairment of cardiac function and hypotension. Adrenaline is a potent medication that acts on the adrenergic receptors, increasing heart rate, contractility, and blood pressure. It is commonly used in emergency situations, including cardiac arrest and severe hypotension, to improve cardiac output and restore perfusion to vital organs.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 causes red color urine?</w:t>
      </w:r>
    </w:p>
    <w:p>
      <w:pPr>
        <w:spacing w:after="0" w:before="0"/>
      </w:pPr>
      <w:r>
        <w:rPr>
          <w:b w:val="0"/>
          <w:sz w:val="22"/>
        </w:rPr>
        <w:t>(a) Streptomycin</w:t>
      </w:r>
    </w:p>
    <w:p>
      <w:pPr>
        <w:spacing w:after="0" w:before="0"/>
      </w:pPr>
      <w:r>
        <w:rPr>
          <w:b w:val="0"/>
          <w:sz w:val="22"/>
        </w:rPr>
        <w:t>(b) Rifampicin</w:t>
      </w:r>
    </w:p>
    <w:p>
      <w:pPr>
        <w:spacing w:after="0" w:before="0"/>
      </w:pPr>
      <w:r>
        <w:rPr>
          <w:b w:val="0"/>
          <w:sz w:val="22"/>
        </w:rPr>
        <w:t>(c) Ethambutol</w:t>
      </w:r>
    </w:p>
    <w:p>
      <w:pPr>
        <w:spacing w:after="0" w:before="0"/>
      </w:pPr>
      <w:r>
        <w:rPr>
          <w:b w:val="0"/>
          <w:sz w:val="22"/>
        </w:rPr>
        <w:t>(d) Isoniazid</w:t>
      </w:r>
    </w:p>
    <w:p>
      <w:pPr>
        <w:spacing w:after="0" w:before="40"/>
      </w:pPr>
      <w:r>
        <w:rPr>
          <w:b/>
          <w:sz w:val="22"/>
        </w:rPr>
        <w:t>Answer: b</w:t>
      </w:r>
    </w:p>
    <w:p>
      <w:pPr>
        <w:spacing w:after="0" w:before="0"/>
      </w:pPr>
      <w:r>
        <w:rPr>
          <w:b w:val="0"/>
          <w:sz w:val="21"/>
        </w:rPr>
        <w:t>Solution: Rifampicin is the drug that can cause red color urine. Rifampicin is an antibiotic commonly used in the treatment of tuberculosis and other infections. One of its known side effects is the discoloration of body fluids, including urine, sweat, and tears, into a reddish-orange color. This is a harmless and temporary effect and does not indicate any serious medical condition. It is important for healthcare providers and patients to be aware of this side effect to avoid unnecessary concern or confusion.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color coding of the bag used in hospitals to dispose of human anatomical wastes such as body parts?</w:t>
      </w:r>
    </w:p>
    <w:p>
      <w:pPr>
        <w:spacing w:after="0" w:before="0"/>
      </w:pPr>
      <w:r>
        <w:rPr>
          <w:b w:val="0"/>
          <w:sz w:val="22"/>
        </w:rPr>
        <w:t>(a) Red</w:t>
      </w:r>
    </w:p>
    <w:p>
      <w:pPr>
        <w:spacing w:after="0" w:before="0"/>
      </w:pPr>
      <w:r>
        <w:rPr>
          <w:b w:val="0"/>
          <w:sz w:val="22"/>
        </w:rPr>
        <w:t>(b) Black</w:t>
      </w:r>
    </w:p>
    <w:p>
      <w:pPr>
        <w:spacing w:after="0" w:before="0"/>
      </w:pPr>
      <w:r>
        <w:rPr>
          <w:b w:val="0"/>
          <w:sz w:val="22"/>
        </w:rPr>
        <w:t>(c) Yellow</w:t>
      </w:r>
    </w:p>
    <w:p>
      <w:pPr>
        <w:spacing w:after="0" w:before="0"/>
      </w:pPr>
      <w:r>
        <w:rPr>
          <w:b w:val="0"/>
          <w:sz w:val="22"/>
        </w:rPr>
        <w:t>(d) Blue</w:t>
      </w:r>
    </w:p>
    <w:p>
      <w:pPr>
        <w:spacing w:after="0" w:before="40"/>
      </w:pPr>
      <w:r>
        <w:rPr>
          <w:b/>
          <w:sz w:val="22"/>
        </w:rPr>
        <w:t>Answer: c</w:t>
      </w:r>
    </w:p>
    <w:p>
      <w:pPr>
        <w:spacing w:after="0" w:before="0"/>
      </w:pPr>
      <w:r>
        <w:rPr>
          <w:b w:val="0"/>
          <w:sz w:val="21"/>
        </w:rPr>
        <w:t>Solution: The color coding of the bag used in hospitals to dispose of human anatomical wastes, such as body parts, is yellow. Color coding systems are used in healthcare facilities to ensure proper segregation and disposal of different types of waste materials. The yellow color is specifically designated for Cleft palate Positioning - /FON) Q - - Biomedical was to management (BMW) (microbiology) anatomical waste, which includes body parts, organs, tissues, and other human biological materials. This color coding system helps prevent cross- contamination and ensures the safe and appropriate disposal of hazardous or infectious waste materials in healthcare settings.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pelvic shape that has the poorest prognosis from vagina delivery is:</w:t>
      </w:r>
    </w:p>
    <w:p>
      <w:pPr>
        <w:spacing w:after="0" w:before="0"/>
      </w:pPr>
      <w:r>
        <w:rPr>
          <w:b w:val="0"/>
          <w:sz w:val="22"/>
        </w:rPr>
        <w:t>(a) Platypelloid</w:t>
      </w:r>
    </w:p>
    <w:p>
      <w:pPr>
        <w:spacing w:after="0" w:before="0"/>
      </w:pPr>
      <w:r>
        <w:rPr>
          <w:b w:val="0"/>
          <w:sz w:val="22"/>
        </w:rPr>
        <w:t>(b) Anthropoid</w:t>
      </w:r>
    </w:p>
    <w:p>
      <w:pPr>
        <w:spacing w:after="0" w:before="0"/>
      </w:pPr>
      <w:r>
        <w:rPr>
          <w:b w:val="0"/>
          <w:sz w:val="22"/>
        </w:rPr>
        <w:t>(c) Android</w:t>
      </w:r>
    </w:p>
    <w:p>
      <w:pPr>
        <w:spacing w:after="0" w:before="0"/>
      </w:pPr>
      <w:r>
        <w:rPr>
          <w:b w:val="0"/>
          <w:sz w:val="22"/>
        </w:rPr>
        <w:t>(d) Gynecoid</w:t>
      </w:r>
    </w:p>
    <w:p>
      <w:pPr>
        <w:spacing w:after="0" w:before="40"/>
      </w:pPr>
      <w:r>
        <w:rPr>
          <w:b/>
          <w:sz w:val="22"/>
        </w:rPr>
        <w:t>Answer: c</w:t>
      </w:r>
    </w:p>
    <w:p>
      <w:pPr>
        <w:spacing w:after="0" w:before="0"/>
      </w:pPr>
      <w:r>
        <w:rPr>
          <w:b w:val="0"/>
          <w:sz w:val="21"/>
        </w:rPr>
        <w:t>Solution: The pelvic shape that has the poorest prognosis for vaginal delivery is an android pelvis. The android pelvis is characterized by a narrow pelvic inlet and a more prominent sacrum, resulting in a reduced capacity for the passage of the fetal head during childbirth. This pelvic shape is often associated with difficulty in achieving successful vaginal delivery, especially in cases where the fetal head is larger or the presentation is not optimal. In such cases, a cesarean section may be necessary to ensure the safety of both the mother and the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drugs is NOT used for emergency contraception?</w:t>
      </w:r>
    </w:p>
    <w:p>
      <w:pPr>
        <w:spacing w:after="0" w:before="0"/>
      </w:pPr>
      <w:r>
        <w:rPr>
          <w:b w:val="0"/>
          <w:sz w:val="22"/>
        </w:rPr>
        <w:t>(a) Misoprostol</w:t>
      </w:r>
    </w:p>
    <w:p>
      <w:pPr>
        <w:spacing w:after="0" w:before="0"/>
      </w:pPr>
      <w:r>
        <w:rPr>
          <w:b w:val="0"/>
          <w:sz w:val="22"/>
        </w:rPr>
        <w:t>(b) Levonorgesterol</w:t>
      </w:r>
    </w:p>
    <w:p>
      <w:pPr>
        <w:spacing w:after="0" w:before="0"/>
      </w:pPr>
      <w:r>
        <w:rPr>
          <w:b w:val="0"/>
          <w:sz w:val="22"/>
        </w:rPr>
        <w:t>(c) IUCD</w:t>
      </w:r>
    </w:p>
    <w:p>
      <w:pPr>
        <w:spacing w:after="0" w:before="0"/>
      </w:pPr>
      <w:r>
        <w:rPr>
          <w:b w:val="0"/>
          <w:sz w:val="22"/>
        </w:rPr>
        <w:t>(d) Danazol</w:t>
      </w:r>
    </w:p>
    <w:p>
      <w:pPr>
        <w:spacing w:after="0" w:before="40"/>
      </w:pPr>
      <w:r>
        <w:rPr>
          <w:b/>
          <w:sz w:val="22"/>
        </w:rPr>
        <w:t>Answer: a</w:t>
      </w:r>
    </w:p>
    <w:p>
      <w:pPr>
        <w:spacing w:after="0" w:before="0"/>
      </w:pPr>
      <w:r>
        <w:rPr>
          <w:b w:val="0"/>
          <w:sz w:val="21"/>
        </w:rPr>
        <w:t>Solution: Misoprostol is NOT used for emergency contraception. Misoprostol is a medication that belongs to the prostaglandin analog class and is primarily used for the prevention and treatment of gastric ulcers. It is also used for inducing labor and managing postpartum hemorrhage. However, it is not recommended or approved for use as a standalone emergency Family planning &lt; OBG , CHNI contraceptive. Levonorgestrel, commonly known as the "morning-after pill," is a widely used emergency contraceptive. Intrauterine devices (IUDs) can also be used for emergency contraception, providing long-term contraception as well. Danazol is not typically used for emergency contraception but may be used for other purposes such as the treatment of endometriosis.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5% dextrose 1000 ml provide calorie?</w:t>
      </w:r>
    </w:p>
    <w:p>
      <w:pPr>
        <w:spacing w:after="0" w:before="0"/>
      </w:pPr>
      <w:r>
        <w:rPr>
          <w:b w:val="0"/>
          <w:sz w:val="22"/>
        </w:rPr>
        <w:t>(a) 100 calories</w:t>
      </w:r>
    </w:p>
    <w:p>
      <w:pPr>
        <w:spacing w:after="0" w:before="0"/>
      </w:pPr>
      <w:r>
        <w:rPr>
          <w:b w:val="0"/>
          <w:sz w:val="22"/>
        </w:rPr>
        <w:t>(b) 200 calories</w:t>
      </w:r>
    </w:p>
    <w:p>
      <w:pPr>
        <w:spacing w:after="0" w:before="0"/>
      </w:pPr>
      <w:r>
        <w:rPr>
          <w:b w:val="0"/>
          <w:sz w:val="22"/>
        </w:rPr>
        <w:t>(c) 170 calories</w:t>
      </w:r>
    </w:p>
    <w:p>
      <w:pPr>
        <w:spacing w:after="0" w:before="0"/>
      </w:pPr>
      <w:r>
        <w:rPr>
          <w:b w:val="0"/>
          <w:sz w:val="22"/>
        </w:rPr>
        <w:t>(d) 300 calories</w:t>
      </w:r>
    </w:p>
    <w:p>
      <w:pPr>
        <w:spacing w:after="0" w:before="40"/>
      </w:pPr>
      <w:r>
        <w:rPr>
          <w:b/>
          <w:sz w:val="22"/>
        </w:rPr>
        <w:t>Answer: b</w:t>
      </w:r>
    </w:p>
    <w:p>
      <w:pPr>
        <w:spacing w:after="0" w:before="0"/>
      </w:pPr>
      <w:r>
        <w:rPr>
          <w:b w:val="0"/>
          <w:sz w:val="21"/>
        </w:rPr>
        <w:t>Solution: 5% dextrose provides 50 g of glucose per litre; each gram of glucose yields about 4 kcal, so 1000 ml provides approximately 200 kcal.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site cannot be used for IM injection to prevent injury in sciatic nerves?</w:t>
      </w:r>
    </w:p>
    <w:p>
      <w:pPr>
        <w:spacing w:after="0" w:before="0"/>
      </w:pPr>
      <w:r>
        <w:rPr>
          <w:b w:val="0"/>
          <w:sz w:val="22"/>
        </w:rPr>
        <w:t>(a) Ventrogluteal</w:t>
      </w:r>
    </w:p>
    <w:p>
      <w:pPr>
        <w:spacing w:after="0" w:before="0"/>
      </w:pPr>
      <w:r>
        <w:rPr>
          <w:b w:val="0"/>
          <w:sz w:val="22"/>
        </w:rPr>
        <w:t>(b) Dorsogluteal</w:t>
      </w:r>
    </w:p>
    <w:p>
      <w:pPr>
        <w:spacing w:after="0" w:before="0"/>
      </w:pPr>
      <w:r>
        <w:rPr>
          <w:b w:val="0"/>
          <w:sz w:val="22"/>
        </w:rPr>
        <w:t>(c) Vastaslatralis</w:t>
      </w:r>
    </w:p>
    <w:p>
      <w:pPr>
        <w:spacing w:after="0" w:before="0"/>
      </w:pPr>
      <w:r>
        <w:rPr>
          <w:b w:val="0"/>
          <w:sz w:val="22"/>
        </w:rPr>
        <w:t>(d) Deltoid</w:t>
      </w:r>
    </w:p>
    <w:p>
      <w:pPr>
        <w:spacing w:after="0" w:before="40"/>
      </w:pPr>
      <w:r>
        <w:rPr>
          <w:b/>
          <w:sz w:val="22"/>
        </w:rPr>
        <w:t>Answer: b</w:t>
      </w:r>
    </w:p>
    <w:p>
      <w:pPr>
        <w:spacing w:after="0" w:before="0"/>
      </w:pPr>
      <w:r>
        <w:rPr>
          <w:b w:val="0"/>
          <w:sz w:val="21"/>
        </w:rPr>
        <w:t>Solution: Rationale: The dorsogluteal site is no longer recommended as the preferred site for IM injections due to the risk of injury to the sciatic nerve. The sciatic nerve is the largest nerve in the body and runs through the buttock area, close to the dorsogluteal site where injections are commonly given. If the injection is not administered correctly, the needle can injure or irritate the sciatic nerve, leading to nerve damage. The ventrogluteal (most Enjections 2 FONT preferable), deltoid and vastus lateralis sites are now considered safer and more appropriate sites for IM injection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patient done the mountex test and patient suffering from HIV. What value indicate TB in the patient?</w:t>
      </w:r>
    </w:p>
    <w:p>
      <w:pPr>
        <w:spacing w:after="0" w:before="0"/>
      </w:pPr>
      <w:r>
        <w:rPr>
          <w:b w:val="0"/>
          <w:sz w:val="22"/>
        </w:rPr>
        <w:t>(a) 5mm</w:t>
      </w:r>
    </w:p>
    <w:p>
      <w:pPr>
        <w:spacing w:after="0" w:before="0"/>
      </w:pPr>
      <w:r>
        <w:rPr>
          <w:b w:val="0"/>
          <w:sz w:val="22"/>
        </w:rPr>
        <w:t>(b) 7mm</w:t>
      </w:r>
    </w:p>
    <w:p>
      <w:pPr>
        <w:spacing w:after="0" w:before="0"/>
      </w:pPr>
      <w:r>
        <w:rPr>
          <w:b w:val="0"/>
          <w:sz w:val="22"/>
        </w:rPr>
        <w:t>(c) 11mm</w:t>
      </w:r>
    </w:p>
    <w:p>
      <w:pPr>
        <w:spacing w:after="0" w:before="0"/>
      </w:pPr>
      <w:r>
        <w:rPr>
          <w:b w:val="0"/>
          <w:sz w:val="22"/>
        </w:rPr>
        <w:t>(d) 15mm</w:t>
      </w:r>
    </w:p>
    <w:p>
      <w:pPr>
        <w:spacing w:after="0" w:before="40"/>
      </w:pPr>
      <w:r>
        <w:rPr>
          <w:b/>
          <w:sz w:val="22"/>
        </w:rPr>
        <w:t>Answer: a</w:t>
      </w:r>
    </w:p>
    <w:p>
      <w:pPr>
        <w:spacing w:after="0" w:before="0"/>
      </w:pPr>
      <w:r>
        <w:rPr>
          <w:b w:val="0"/>
          <w:sz w:val="21"/>
        </w:rPr>
        <w:t>Solution: Rationale:- The Mantoux tuberculin skin test (TST) determines whether a person is infected with Mycobacterium tuberculosis, performed by injecting 0.1 ml of tuberculin purified protein derivative (PPD) into the inner surface of the forearm intradermally. The skin test reaction should be read after 72 hours after administration i.e. induration (firm swelling or a wheal 7-10mm in diameter). An induration of more than 5 mm is considered positive in ° People living with HIV ° A recent contact of a person with infectious TB disease ° People with organ transplants ° Other immunosuppressed people mountex test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 a healthcare professional posted at a Primary Health Centre (PHC), in which bag should the placenta be discarded after delivery?</w:t>
      </w:r>
    </w:p>
    <w:p>
      <w:pPr>
        <w:spacing w:after="0" w:before="0"/>
      </w:pPr>
      <w:r>
        <w:rPr>
          <w:b w:val="0"/>
          <w:sz w:val="22"/>
        </w:rPr>
        <w:t>(a) Yellow</w:t>
      </w:r>
    </w:p>
    <w:p>
      <w:pPr>
        <w:spacing w:after="0" w:before="0"/>
      </w:pPr>
      <w:r>
        <w:rPr>
          <w:b w:val="0"/>
          <w:sz w:val="22"/>
        </w:rPr>
        <w:t>(b) Red</w:t>
      </w:r>
    </w:p>
    <w:p>
      <w:pPr>
        <w:spacing w:after="0" w:before="0"/>
      </w:pPr>
      <w:r>
        <w:rPr>
          <w:b w:val="0"/>
          <w:sz w:val="22"/>
        </w:rPr>
        <w:t>(c) Black</w:t>
      </w:r>
    </w:p>
    <w:p>
      <w:pPr>
        <w:spacing w:after="0" w:before="0"/>
      </w:pPr>
      <w:r>
        <w:rPr>
          <w:b w:val="0"/>
          <w:sz w:val="22"/>
        </w:rPr>
        <w:t>(d) Green</w:t>
      </w:r>
    </w:p>
    <w:p>
      <w:pPr>
        <w:spacing w:after="0" w:before="40"/>
      </w:pPr>
      <w:r>
        <w:rPr>
          <w:b/>
          <w:sz w:val="22"/>
        </w:rPr>
        <w:t>Answer: a</w:t>
      </w:r>
    </w:p>
    <w:p>
      <w:pPr>
        <w:spacing w:after="0" w:before="0"/>
      </w:pPr>
      <w:r>
        <w:rPr>
          <w:b w:val="0"/>
          <w:sz w:val="21"/>
        </w:rPr>
        <w:t>Solution: vaccine &amp; programme ° Immunization) CHN BMW C - As a healthcare professional posted at a Primary Health Centre (PHC), the placenta should be discarded in a yellow bag (option a) after delivery. Proper management of medical waste is crucial to maintain a safe and hygienic healthcare environment. Placentas are considered biohazardous waste due to their potential for transmitting infectious agents. Yellow bags or containers are designated for the disposal of infectious or biohazardous waste materials. Adhering to proper waste disposal protocols helps prevent the spread of infections and ensures the well-being of healthcare workers, patients, and the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gauge needle is used for blood transfusion?</w:t>
      </w:r>
    </w:p>
    <w:p>
      <w:pPr>
        <w:spacing w:after="0" w:before="0"/>
      </w:pPr>
      <w:r>
        <w:rPr>
          <w:b w:val="0"/>
          <w:sz w:val="22"/>
        </w:rPr>
        <w:t>(a) 18G</w:t>
      </w:r>
    </w:p>
    <w:p>
      <w:pPr>
        <w:spacing w:after="0" w:before="0"/>
      </w:pPr>
      <w:r>
        <w:rPr>
          <w:b w:val="0"/>
          <w:sz w:val="22"/>
        </w:rPr>
        <w:t>(b) 20 G</w:t>
      </w:r>
    </w:p>
    <w:p>
      <w:pPr>
        <w:spacing w:after="0" w:before="0"/>
      </w:pPr>
      <w:r>
        <w:rPr>
          <w:b w:val="0"/>
          <w:sz w:val="22"/>
        </w:rPr>
        <w:t>(c) 22G</w:t>
      </w:r>
    </w:p>
    <w:p>
      <w:pPr>
        <w:spacing w:after="0" w:before="0"/>
      </w:pPr>
      <w:r>
        <w:rPr>
          <w:b w:val="0"/>
          <w:sz w:val="22"/>
        </w:rPr>
        <w:t>(d) 24 G</w:t>
      </w:r>
    </w:p>
    <w:p>
      <w:pPr>
        <w:spacing w:after="0" w:before="40"/>
      </w:pPr>
      <w:r>
        <w:rPr>
          <w:b/>
          <w:sz w:val="22"/>
        </w:rPr>
        <w:t>Answer: a</w:t>
      </w:r>
    </w:p>
    <w:p>
      <w:pPr>
        <w:spacing w:after="0" w:before="0"/>
      </w:pPr>
      <w:r>
        <w:rPr>
          <w:b w:val="0"/>
          <w:sz w:val="21"/>
        </w:rPr>
        <w:t>Solution: The gauge needle used for blood transfusion is typically an 18G needle (option A). The gauge of a needle refers to its diameter, with a higher gauge number indicating a smaller diameter. An 18G needle has a larger diameter compared to a 20G, 22G, or 24G needle. The larger diameter facilitates the smooth and rapid flow of blood during a transfusion, reducing the risk of hemolysis and clotting. However, the specific gauge of the needle may vary depending on the patient's condition and the type of blood product being transfused.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