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The drug of choice for an acute attack of bronchial asthma is:</w:t>
      </w:r>
    </w:p>
    <w:p>
      <w:pPr>
        <w:spacing w:after="0" w:before="0"/>
      </w:pPr>
      <w:r>
        <w:rPr>
          <w:b w:val="0"/>
          <w:sz w:val="22"/>
        </w:rPr>
        <w:t>(a) Oral steroids</w:t>
      </w:r>
    </w:p>
    <w:p>
      <w:pPr>
        <w:spacing w:after="0" w:before="0"/>
      </w:pPr>
      <w:r>
        <w:rPr>
          <w:b w:val="0"/>
          <w:sz w:val="22"/>
        </w:rPr>
        <w:t>(b) Inhaled short-acting beta-2 agonist</w:t>
      </w:r>
    </w:p>
    <w:p>
      <w:pPr>
        <w:spacing w:after="0" w:before="0"/>
      </w:pPr>
      <w:r>
        <w:rPr>
          <w:b w:val="0"/>
          <w:sz w:val="22"/>
        </w:rPr>
        <w:t>(c) Theophylline</w:t>
      </w:r>
    </w:p>
    <w:p>
      <w:pPr>
        <w:spacing w:after="0" w:before="0"/>
      </w:pPr>
      <w:r>
        <w:rPr>
          <w:b w:val="0"/>
          <w:sz w:val="22"/>
        </w:rPr>
        <w:t>(d) Mucolytics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Inhaled short-acting beta-2 agonists (e.g., salbutamol) are first-line for acute asthma attacks.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 Addison's disease, the nurse should observe the patient for:</w:t>
      </w:r>
    </w:p>
    <w:p>
      <w:pPr>
        <w:spacing w:after="0" w:before="0"/>
      </w:pPr>
      <w:r>
        <w:rPr>
          <w:b w:val="0"/>
          <w:sz w:val="22"/>
        </w:rPr>
        <w:t>(a) Hypertension and oedema</w:t>
      </w:r>
    </w:p>
    <w:p>
      <w:pPr>
        <w:spacing w:after="0" w:before="0"/>
      </w:pPr>
      <w:r>
        <w:rPr>
          <w:b w:val="0"/>
          <w:sz w:val="22"/>
        </w:rPr>
        <w:t>(b) Hypotension and hyperpigmentation</w:t>
      </w:r>
    </w:p>
    <w:p>
      <w:pPr>
        <w:spacing w:after="0" w:before="0"/>
      </w:pPr>
      <w:r>
        <w:rPr>
          <w:b w:val="0"/>
          <w:sz w:val="22"/>
        </w:rPr>
        <w:t>(c) Weight gain and moon face</w:t>
      </w:r>
    </w:p>
    <w:p>
      <w:pPr>
        <w:spacing w:after="0" w:before="0"/>
      </w:pPr>
      <w:r>
        <w:rPr>
          <w:b w:val="0"/>
          <w:sz w:val="22"/>
        </w:rPr>
        <w:t>(d) Hyperthermia and polyuria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Addison's disease causes hypotension, fatigue, hyperpigmentation and hyponatremia.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priority nursing intervention for a patient with a head injury is:</w:t>
      </w:r>
    </w:p>
    <w:p>
      <w:pPr>
        <w:spacing w:after="0" w:before="0"/>
      </w:pPr>
      <w:r>
        <w:rPr>
          <w:b w:val="0"/>
          <w:sz w:val="22"/>
        </w:rPr>
        <w:t>(a) Maintaining a patent airway</w:t>
      </w:r>
    </w:p>
    <w:p>
      <w:pPr>
        <w:spacing w:after="0" w:before="0"/>
      </w:pPr>
      <w:r>
        <w:rPr>
          <w:b w:val="0"/>
          <w:sz w:val="22"/>
        </w:rPr>
        <w:t>(b) Administering analgesics</w:t>
      </w:r>
    </w:p>
    <w:p>
      <w:pPr>
        <w:spacing w:after="0" w:before="0"/>
      </w:pPr>
      <w:r>
        <w:rPr>
          <w:b w:val="0"/>
          <w:sz w:val="22"/>
        </w:rPr>
        <w:t>(c) Elevating the foot end</w:t>
      </w:r>
    </w:p>
    <w:p>
      <w:pPr>
        <w:spacing w:after="0" w:before="0"/>
      </w:pPr>
      <w:r>
        <w:rPr>
          <w:b w:val="0"/>
          <w:sz w:val="22"/>
        </w:rPr>
        <w:t>(d) Measuring intake and output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Airway maintenance is the priority in head injury to prevent hypoxia and further brain damage.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burn patient with 30% TBSA burns in the first 24 hours should be monitored most closely for:</w:t>
      </w:r>
    </w:p>
    <w:p>
      <w:pPr>
        <w:spacing w:after="0" w:before="0"/>
      </w:pPr>
      <w:r>
        <w:rPr>
          <w:b w:val="0"/>
          <w:sz w:val="22"/>
        </w:rPr>
        <w:t>(a) Hyperglycemia</w:t>
      </w:r>
    </w:p>
    <w:p>
      <w:pPr>
        <w:spacing w:after="0" w:before="0"/>
      </w:pPr>
      <w:r>
        <w:rPr>
          <w:b w:val="0"/>
          <w:sz w:val="22"/>
        </w:rPr>
        <w:t>(b) Hypovolaemic shock</w:t>
      </w:r>
    </w:p>
    <w:p>
      <w:pPr>
        <w:spacing w:after="0" w:before="0"/>
      </w:pPr>
      <w:r>
        <w:rPr>
          <w:b w:val="0"/>
          <w:sz w:val="22"/>
        </w:rPr>
        <w:t>(c) Hyperkalemia only</w:t>
      </w:r>
    </w:p>
    <w:p>
      <w:pPr>
        <w:spacing w:after="0" w:before="0"/>
      </w:pPr>
      <w:r>
        <w:rPr>
          <w:b w:val="0"/>
          <w:sz w:val="22"/>
        </w:rPr>
        <w:t>(d) Constipation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Fluid shift from the intravascular compartment causes hypovolaemic shock in the first 24-48 hours after burns.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Apgar score includes assessment of all EXCEPT:</w:t>
      </w:r>
    </w:p>
    <w:p>
      <w:pPr>
        <w:spacing w:after="0" w:before="0"/>
      </w:pPr>
      <w:r>
        <w:rPr>
          <w:b w:val="0"/>
          <w:sz w:val="22"/>
        </w:rPr>
        <w:t>(a) Heart rate</w:t>
      </w:r>
    </w:p>
    <w:p>
      <w:pPr>
        <w:spacing w:after="0" w:before="0"/>
      </w:pPr>
      <w:r>
        <w:rPr>
          <w:b w:val="0"/>
          <w:sz w:val="22"/>
        </w:rPr>
        <w:t>(b) Respiratory effort</w:t>
      </w:r>
    </w:p>
    <w:p>
      <w:pPr>
        <w:spacing w:after="0" w:before="0"/>
      </w:pPr>
      <w:r>
        <w:rPr>
          <w:b w:val="0"/>
          <w:sz w:val="22"/>
        </w:rPr>
        <w:t>(c) Blood pressure</w:t>
      </w:r>
    </w:p>
    <w:p>
      <w:pPr>
        <w:spacing w:after="0" w:before="0"/>
      </w:pPr>
      <w:r>
        <w:rPr>
          <w:b w:val="0"/>
          <w:sz w:val="22"/>
        </w:rPr>
        <w:t>(d) Muscle tone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Apgar assesses heart rate, respiration, muscle tone, reflex irritability and colour (not blood pressure).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first milk secreted by the mother after delivery, rich in antibodies, is called:</w:t>
      </w:r>
    </w:p>
    <w:p>
      <w:pPr>
        <w:spacing w:after="0" w:before="0"/>
      </w:pPr>
      <w:r>
        <w:rPr>
          <w:b w:val="0"/>
          <w:sz w:val="22"/>
        </w:rPr>
        <w:t>(a) Transitional milk</w:t>
      </w:r>
    </w:p>
    <w:p>
      <w:pPr>
        <w:spacing w:after="0" w:before="0"/>
      </w:pPr>
      <w:r>
        <w:rPr>
          <w:b w:val="0"/>
          <w:sz w:val="22"/>
        </w:rPr>
        <w:t>(b) Colostrum</w:t>
      </w:r>
    </w:p>
    <w:p>
      <w:pPr>
        <w:spacing w:after="0" w:before="0"/>
      </w:pPr>
      <w:r>
        <w:rPr>
          <w:b w:val="0"/>
          <w:sz w:val="22"/>
        </w:rPr>
        <w:t>(c) Mature milk</w:t>
      </w:r>
    </w:p>
    <w:p>
      <w:pPr>
        <w:spacing w:after="0" w:before="0"/>
      </w:pPr>
      <w:r>
        <w:rPr>
          <w:b w:val="0"/>
          <w:sz w:val="22"/>
        </w:rPr>
        <w:t>(d) Hind milk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Colostrum, secreted in the first few days, is rich in immunoglobulins (IgA) and protects the newborn.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drug of choice for eclampsia is:</w:t>
      </w:r>
    </w:p>
    <w:p>
      <w:pPr>
        <w:spacing w:after="0" w:before="0"/>
      </w:pPr>
      <w:r>
        <w:rPr>
          <w:b w:val="0"/>
          <w:sz w:val="22"/>
        </w:rPr>
        <w:t>(a) Diazepam</w:t>
      </w:r>
    </w:p>
    <w:p>
      <w:pPr>
        <w:spacing w:after="0" w:before="0"/>
      </w:pPr>
      <w:r>
        <w:rPr>
          <w:b w:val="0"/>
          <w:sz w:val="22"/>
        </w:rPr>
        <w:t>(b) Magnesium sulphate</w:t>
      </w:r>
    </w:p>
    <w:p>
      <w:pPr>
        <w:spacing w:after="0" w:before="0"/>
      </w:pPr>
      <w:r>
        <w:rPr>
          <w:b w:val="0"/>
          <w:sz w:val="22"/>
        </w:rPr>
        <w:t>(c) Phenytoin</w:t>
      </w:r>
    </w:p>
    <w:p>
      <w:pPr>
        <w:spacing w:after="0" w:before="0"/>
      </w:pPr>
      <w:r>
        <w:rPr>
          <w:b w:val="0"/>
          <w:sz w:val="22"/>
        </w:rPr>
        <w:t>(d) Nifedipine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Magnesium sulphate is the drug of choice to control and prevent eclamptic convulsions.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Postpartum haemorrhage is defined as blood loss of more than:</w:t>
      </w:r>
    </w:p>
    <w:p>
      <w:pPr>
        <w:spacing w:after="0" w:before="0"/>
      </w:pPr>
      <w:r>
        <w:rPr>
          <w:b w:val="0"/>
          <w:sz w:val="22"/>
        </w:rPr>
        <w:t>(a) 250 ml</w:t>
      </w:r>
    </w:p>
    <w:p>
      <w:pPr>
        <w:spacing w:after="0" w:before="0"/>
      </w:pPr>
      <w:r>
        <w:rPr>
          <w:b w:val="0"/>
          <w:sz w:val="22"/>
        </w:rPr>
        <w:t>(b) 500 ml</w:t>
      </w:r>
    </w:p>
    <w:p>
      <w:pPr>
        <w:spacing w:after="0" w:before="0"/>
      </w:pPr>
      <w:r>
        <w:rPr>
          <w:b w:val="0"/>
          <w:sz w:val="22"/>
        </w:rPr>
        <w:t>(c) 750 ml</w:t>
      </w:r>
    </w:p>
    <w:p>
      <w:pPr>
        <w:spacing w:after="0" w:before="0"/>
      </w:pPr>
      <w:r>
        <w:rPr>
          <w:b w:val="0"/>
          <w:sz w:val="22"/>
        </w:rPr>
        <w:t>(d) 1000 ml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PPH is blood loss exceeding 500 ml after vaginal delivery (or 1000 ml after cesarean section).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BCG vaccine is administered to a newborn:</w:t>
      </w:r>
    </w:p>
    <w:p>
      <w:pPr>
        <w:spacing w:after="0" w:before="0"/>
      </w:pPr>
      <w:r>
        <w:rPr>
          <w:b w:val="0"/>
          <w:sz w:val="22"/>
        </w:rPr>
        <w:t>(a) Orally</w:t>
      </w:r>
    </w:p>
    <w:p>
      <w:pPr>
        <w:spacing w:after="0" w:before="0"/>
      </w:pPr>
      <w:r>
        <w:rPr>
          <w:b w:val="0"/>
          <w:sz w:val="22"/>
        </w:rPr>
        <w:t>(b) Intramuscularly</w:t>
      </w:r>
    </w:p>
    <w:p>
      <w:pPr>
        <w:spacing w:after="0" w:before="0"/>
      </w:pPr>
      <w:r>
        <w:rPr>
          <w:b w:val="0"/>
          <w:sz w:val="22"/>
        </w:rPr>
        <w:t>(c) Intradermally</w:t>
      </w:r>
    </w:p>
    <w:p>
      <w:pPr>
        <w:spacing w:after="0" w:before="0"/>
      </w:pPr>
      <w:r>
        <w:rPr>
          <w:b w:val="0"/>
          <w:sz w:val="22"/>
        </w:rPr>
        <w:t>(d) Subcutaneously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BCG is given intradermally on the left upper arm (deltoid region) at birth.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According to the National Immunization Schedule, the first dose of OPV is given:</w:t>
      </w:r>
    </w:p>
    <w:p>
      <w:pPr>
        <w:spacing w:after="0" w:before="0"/>
      </w:pPr>
      <w:r>
        <w:rPr>
          <w:b w:val="0"/>
          <w:sz w:val="22"/>
        </w:rPr>
        <w:t>(a) At birth</w:t>
      </w:r>
    </w:p>
    <w:p>
      <w:pPr>
        <w:spacing w:after="0" w:before="0"/>
      </w:pPr>
      <w:r>
        <w:rPr>
          <w:b w:val="0"/>
          <w:sz w:val="22"/>
        </w:rPr>
        <w:t>(b) At 6 weeks</w:t>
      </w:r>
    </w:p>
    <w:p>
      <w:pPr>
        <w:spacing w:after="0" w:before="0"/>
      </w:pPr>
      <w:r>
        <w:rPr>
          <w:b w:val="0"/>
          <w:sz w:val="22"/>
        </w:rPr>
        <w:t>(c) At 9 months</w:t>
      </w:r>
    </w:p>
    <w:p>
      <w:pPr>
        <w:spacing w:after="0" w:before="0"/>
      </w:pPr>
      <w:r>
        <w:rPr>
          <w:b w:val="0"/>
          <w:sz w:val="22"/>
        </w:rPr>
        <w:t>(d) At 16-24 months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OPV-0 (zero dose) is given at birth, followed by OPV 1, 2, 3 at 6, 10 and 14 weeks.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most common cause of diarrhoea in children under 5 years in developing countries is:</w:t>
      </w:r>
    </w:p>
    <w:p>
      <w:pPr>
        <w:spacing w:after="0" w:before="0"/>
      </w:pPr>
      <w:r>
        <w:rPr>
          <w:b w:val="0"/>
          <w:sz w:val="22"/>
        </w:rPr>
        <w:t>(a) Rotavirus</w:t>
      </w:r>
    </w:p>
    <w:p>
      <w:pPr>
        <w:spacing w:after="0" w:before="0"/>
      </w:pPr>
      <w:r>
        <w:rPr>
          <w:b w:val="0"/>
          <w:sz w:val="22"/>
        </w:rPr>
        <w:t>(b) Giardia</w:t>
      </w:r>
    </w:p>
    <w:p>
      <w:pPr>
        <w:spacing w:after="0" w:before="0"/>
      </w:pPr>
      <w:r>
        <w:rPr>
          <w:b w:val="0"/>
          <w:sz w:val="22"/>
        </w:rPr>
        <w:t>(c) Salmonella</w:t>
      </w:r>
    </w:p>
    <w:p>
      <w:pPr>
        <w:spacing w:after="0" w:before="0"/>
      </w:pPr>
      <w:r>
        <w:rPr>
          <w:b w:val="0"/>
          <w:sz w:val="22"/>
        </w:rPr>
        <w:t>(d) Shigella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Rotavirus is the leading cause of severe dehydrating diarrhoea in young children; vaccination is available.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ORS (Oral Rehydration Solution) should be given in acute diarrhoea:</w:t>
      </w:r>
    </w:p>
    <w:p>
      <w:pPr>
        <w:spacing w:after="0" w:before="0"/>
      </w:pPr>
      <w:r>
        <w:rPr>
          <w:b w:val="0"/>
          <w:sz w:val="22"/>
        </w:rPr>
        <w:t>(a) Only when the child is hospitalised</w:t>
      </w:r>
    </w:p>
    <w:p>
      <w:pPr>
        <w:spacing w:after="0" w:before="0"/>
      </w:pPr>
      <w:r>
        <w:rPr>
          <w:b w:val="0"/>
          <w:sz w:val="22"/>
        </w:rPr>
        <w:t>(b) After every loose stool in small amounts</w:t>
      </w:r>
    </w:p>
    <w:p>
      <w:pPr>
        <w:spacing w:after="0" w:before="0"/>
      </w:pPr>
      <w:r>
        <w:rPr>
          <w:b w:val="0"/>
          <w:sz w:val="22"/>
        </w:rPr>
        <w:t>(c) Only with antibiotics</w:t>
      </w:r>
    </w:p>
    <w:p>
      <w:pPr>
        <w:spacing w:after="0" w:before="0"/>
      </w:pPr>
      <w:r>
        <w:rPr>
          <w:b w:val="0"/>
          <w:sz w:val="22"/>
        </w:rPr>
        <w:t>(d) Only if the child is vomiting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ORS is given after each loose stool (about 50-100 ml per stool for a young child) to prevent dehydration.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'3 delays' model in maternal health refers to delays in:</w:t>
      </w:r>
    </w:p>
    <w:p>
      <w:pPr>
        <w:spacing w:after="0" w:before="0"/>
      </w:pPr>
      <w:r>
        <w:rPr>
          <w:b w:val="0"/>
          <w:sz w:val="22"/>
        </w:rPr>
        <w:t>(a) Seeking care, reaching care, receiving care</w:t>
      </w:r>
    </w:p>
    <w:p>
      <w:pPr>
        <w:spacing w:after="0" w:before="0"/>
      </w:pPr>
      <w:r>
        <w:rPr>
          <w:b w:val="0"/>
          <w:sz w:val="22"/>
        </w:rPr>
        <w:t>(b) Immunization, nutrition, education</w:t>
      </w:r>
    </w:p>
    <w:p>
      <w:pPr>
        <w:spacing w:after="0" w:before="0"/>
      </w:pPr>
      <w:r>
        <w:rPr>
          <w:b w:val="0"/>
          <w:sz w:val="22"/>
        </w:rPr>
        <w:t>(c) Diagnosis, treatment, follow-up</w:t>
      </w:r>
    </w:p>
    <w:p>
      <w:pPr>
        <w:spacing w:after="0" w:before="0"/>
      </w:pPr>
      <w:r>
        <w:rPr>
          <w:b w:val="0"/>
          <w:sz w:val="22"/>
        </w:rPr>
        <w:t>(d) Registration, examination, delivery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three delays are delay in deciding to seek care, delay in reaching a facility, and delay in receiving adequate care.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a vector-borne disease?</w:t>
      </w:r>
    </w:p>
    <w:p>
      <w:pPr>
        <w:spacing w:after="0" w:before="0"/>
      </w:pPr>
      <w:r>
        <w:rPr>
          <w:b w:val="0"/>
          <w:sz w:val="22"/>
        </w:rPr>
        <w:t>(a) Cholera</w:t>
      </w:r>
    </w:p>
    <w:p>
      <w:pPr>
        <w:spacing w:after="0" w:before="0"/>
      </w:pPr>
      <w:r>
        <w:rPr>
          <w:b w:val="0"/>
          <w:sz w:val="22"/>
        </w:rPr>
        <w:t>(b) Dengue</w:t>
      </w:r>
    </w:p>
    <w:p>
      <w:pPr>
        <w:spacing w:after="0" w:before="0"/>
      </w:pPr>
      <w:r>
        <w:rPr>
          <w:b w:val="0"/>
          <w:sz w:val="22"/>
        </w:rPr>
        <w:t>(c) Tuberculosis</w:t>
      </w:r>
    </w:p>
    <w:p>
      <w:pPr>
        <w:spacing w:after="0" w:before="0"/>
      </w:pPr>
      <w:r>
        <w:rPr>
          <w:b w:val="0"/>
          <w:sz w:val="22"/>
        </w:rPr>
        <w:t>(d) Hepatitis 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Dengue is transmitted by the Aedes aegypti mosquito, making it a vector-borne disease.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'first referral unit' (FRU) in India provides:</w:t>
      </w:r>
    </w:p>
    <w:p>
      <w:pPr>
        <w:spacing w:after="0" w:before="0"/>
      </w:pPr>
      <w:r>
        <w:rPr>
          <w:b w:val="0"/>
          <w:sz w:val="22"/>
        </w:rPr>
        <w:t>(a) Only outpatient care</w:t>
      </w:r>
    </w:p>
    <w:p>
      <w:pPr>
        <w:spacing w:after="0" w:before="0"/>
      </w:pPr>
      <w:r>
        <w:rPr>
          <w:b w:val="0"/>
          <w:sz w:val="22"/>
        </w:rPr>
        <w:t>(b) Emergency obstetric and newborn care</w:t>
      </w:r>
    </w:p>
    <w:p>
      <w:pPr>
        <w:spacing w:after="0" w:before="0"/>
      </w:pPr>
      <w:r>
        <w:rPr>
          <w:b w:val="0"/>
          <w:sz w:val="22"/>
        </w:rPr>
        <w:t>(c) Only immunisation services</w:t>
      </w:r>
    </w:p>
    <w:p>
      <w:pPr>
        <w:spacing w:after="0" w:before="0"/>
      </w:pPr>
      <w:r>
        <w:rPr>
          <w:b w:val="0"/>
          <w:sz w:val="22"/>
        </w:rPr>
        <w:t>(d) Only dental care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FRUs provide comprehensive emergency obstetric and newborn care (CEmONC) at the community level.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therapy that involves the patient expressing thoughts freely without censorship is:</w:t>
      </w:r>
    </w:p>
    <w:p>
      <w:pPr>
        <w:spacing w:after="0" w:before="0"/>
      </w:pPr>
      <w:r>
        <w:rPr>
          <w:b w:val="0"/>
          <w:sz w:val="22"/>
        </w:rPr>
        <w:t>(a) Behaviour therapy</w:t>
      </w:r>
    </w:p>
    <w:p>
      <w:pPr>
        <w:spacing w:after="0" w:before="0"/>
      </w:pPr>
      <w:r>
        <w:rPr>
          <w:b w:val="0"/>
          <w:sz w:val="22"/>
        </w:rPr>
        <w:t>(b) Free association (psychoanalysis)</w:t>
      </w:r>
    </w:p>
    <w:p>
      <w:pPr>
        <w:spacing w:after="0" w:before="0"/>
      </w:pPr>
      <w:r>
        <w:rPr>
          <w:b w:val="0"/>
          <w:sz w:val="22"/>
        </w:rPr>
        <w:t>(c) Cognitive therapy</w:t>
      </w:r>
    </w:p>
    <w:p>
      <w:pPr>
        <w:spacing w:after="0" w:before="0"/>
      </w:pPr>
      <w:r>
        <w:rPr>
          <w:b w:val="0"/>
          <w:sz w:val="22"/>
        </w:rPr>
        <w:t>(d) Milieu therapy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Free association is a psychoanalytic technique where the patient speaks whatever comes to mind.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'therapeutic use of self' in psychiatric nursing was emphasised by:</w:t>
      </w:r>
    </w:p>
    <w:p>
      <w:pPr>
        <w:spacing w:after="0" w:before="0"/>
      </w:pPr>
      <w:r>
        <w:rPr>
          <w:b w:val="0"/>
          <w:sz w:val="22"/>
        </w:rPr>
        <w:t>(a) Dorothea Orem</w:t>
      </w:r>
    </w:p>
    <w:p>
      <w:pPr>
        <w:spacing w:after="0" w:before="0"/>
      </w:pPr>
      <w:r>
        <w:rPr>
          <w:b w:val="0"/>
          <w:sz w:val="22"/>
        </w:rPr>
        <w:t>(b) Hildegard Peplau</w:t>
      </w:r>
    </w:p>
    <w:p>
      <w:pPr>
        <w:spacing w:after="0" w:before="0"/>
      </w:pPr>
      <w:r>
        <w:rPr>
          <w:b w:val="0"/>
          <w:sz w:val="22"/>
        </w:rPr>
        <w:t>(c) Virginia Henderson</w:t>
      </w:r>
    </w:p>
    <w:p>
      <w:pPr>
        <w:spacing w:after="0" w:before="0"/>
      </w:pPr>
      <w:r>
        <w:rPr>
          <w:b w:val="0"/>
          <w:sz w:val="22"/>
        </w:rPr>
        <w:t>(d) Betty Neuman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Hildegard Peplau's interpersonal theory (1952) emphasised the nurse-patient relationship and therapeutic use of self.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Delirium tremens is most commonly associated with withdrawal from:</w:t>
      </w:r>
    </w:p>
    <w:p>
      <w:pPr>
        <w:spacing w:after="0" w:before="0"/>
      </w:pPr>
      <w:r>
        <w:rPr>
          <w:b w:val="0"/>
          <w:sz w:val="22"/>
        </w:rPr>
        <w:t>(a) Opioids</w:t>
      </w:r>
    </w:p>
    <w:p>
      <w:pPr>
        <w:spacing w:after="0" w:before="0"/>
      </w:pPr>
      <w:r>
        <w:rPr>
          <w:b w:val="0"/>
          <w:sz w:val="22"/>
        </w:rPr>
        <w:t>(b) Alcohol</w:t>
      </w:r>
    </w:p>
    <w:p>
      <w:pPr>
        <w:spacing w:after="0" w:before="0"/>
      </w:pPr>
      <w:r>
        <w:rPr>
          <w:b w:val="0"/>
          <w:sz w:val="22"/>
        </w:rPr>
        <w:t>(c) Benzodiazepines</w:t>
      </w:r>
    </w:p>
    <w:p>
      <w:pPr>
        <w:spacing w:after="0" w:before="0"/>
      </w:pPr>
      <w:r>
        <w:rPr>
          <w:b w:val="0"/>
          <w:sz w:val="22"/>
        </w:rPr>
        <w:t>(d) Cocaine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Delirium tremens is a severe complication of alcohol withdrawal, with confusion, tremor and hallucinations.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Electroconvulsive therapy (ECT) is most commonly indicated in:</w:t>
      </w:r>
    </w:p>
    <w:p>
      <w:pPr>
        <w:spacing w:after="0" w:before="0"/>
      </w:pPr>
      <w:r>
        <w:rPr>
          <w:b w:val="0"/>
          <w:sz w:val="22"/>
        </w:rPr>
        <w:t>(a) Mild anxiety</w:t>
      </w:r>
    </w:p>
    <w:p>
      <w:pPr>
        <w:spacing w:after="0" w:before="0"/>
      </w:pPr>
      <w:r>
        <w:rPr>
          <w:b w:val="0"/>
          <w:sz w:val="22"/>
        </w:rPr>
        <w:t>(b) Severe depression with suicidal risk</w:t>
      </w:r>
    </w:p>
    <w:p>
      <w:pPr>
        <w:spacing w:after="0" w:before="0"/>
      </w:pPr>
      <w:r>
        <w:rPr>
          <w:b w:val="0"/>
          <w:sz w:val="22"/>
        </w:rPr>
        <w:t>(c) Somatoform disorder</w:t>
      </w:r>
    </w:p>
    <w:p>
      <w:pPr>
        <w:spacing w:after="0" w:before="0"/>
      </w:pPr>
      <w:r>
        <w:rPr>
          <w:b w:val="0"/>
          <w:sz w:val="22"/>
        </w:rPr>
        <w:t>(d) Simple phobia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ECT is used in severe, resistant depression, especially with suicidal risk, and in catatonia.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vitamin is synthesized in the skin on exposure to sunlight?</w:t>
      </w:r>
    </w:p>
    <w:p>
      <w:pPr>
        <w:spacing w:after="0" w:before="0"/>
      </w:pPr>
      <w:r>
        <w:rPr>
          <w:b w:val="0"/>
          <w:sz w:val="22"/>
        </w:rPr>
        <w:t>(a) Vitamin A</w:t>
      </w:r>
    </w:p>
    <w:p>
      <w:pPr>
        <w:spacing w:after="0" w:before="0"/>
      </w:pPr>
      <w:r>
        <w:rPr>
          <w:b w:val="0"/>
          <w:sz w:val="22"/>
        </w:rPr>
        <w:t>(b) Vitamin C</w:t>
      </w:r>
    </w:p>
    <w:p>
      <w:pPr>
        <w:spacing w:after="0" w:before="0"/>
      </w:pPr>
      <w:r>
        <w:rPr>
          <w:b w:val="0"/>
          <w:sz w:val="22"/>
        </w:rPr>
        <w:t>(c) Vitamin D</w:t>
      </w:r>
    </w:p>
    <w:p>
      <w:pPr>
        <w:spacing w:after="0" w:before="0"/>
      </w:pPr>
      <w:r>
        <w:rPr>
          <w:b w:val="0"/>
          <w:sz w:val="22"/>
        </w:rPr>
        <w:t>(d) Vitamin 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Vitamin D (cholecalciferol) is synthesized in the skin from 7-dehydrocholesterol on exposure to ultraviolet B rays of sunlight.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