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with crushing chest pain, diaphoresis and ST elevation arrives at the ED. What is the FIRST action?</w:t>
      </w:r>
    </w:p>
    <w:p>
      <w:pPr>
        <w:spacing w:after="200" w:line="276" w:lineRule="auto"/>
      </w:pPr>
      <w:r>
        <w:t>(a) Obtain a full history</w:t>
      </w:r>
    </w:p>
    <w:p>
      <w:pPr>
        <w:spacing w:after="200" w:line="276" w:lineRule="auto"/>
      </w:pPr>
      <w:r>
        <w:t>(b) Give aspirin 300 mg chewed after assessing for allergy</w:t>
      </w:r>
    </w:p>
    <w:p>
      <w:pPr>
        <w:spacing w:after="200" w:line="276" w:lineRule="auto"/>
      </w:pPr>
      <w:r>
        <w:t>(c) Insert a Foley catheter</w:t>
      </w:r>
    </w:p>
    <w:p>
      <w:pPr>
        <w:spacing w:after="200" w:line="276" w:lineRule="auto"/>
      </w:pPr>
      <w:r>
        <w:t>(d) Wait for cardiology rounds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Give aspirin 300 mg chewed after assessing for allergy</w:t>
      </w:r>
    </w:p>
    <w:p>
      <w:pPr>
        <w:spacing w:after="200" w:line="276" w:lineRule="auto"/>
      </w:pPr>
      <w:r>
        <w:t>🧠 Clinical Rationale: Aspirin plus oxygen/ECG/monitoring start immediately in suspected STEMI; time is muscle.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• Crushing chest pain — acute coronary syndrome</w:t>
      </w:r>
    </w:p>
    <w:p>
      <w:pPr>
        <w:spacing w:after="200" w:line="276" w:lineRule="auto"/>
      </w:pPr>
      <w:r>
        <w:t>• Diaphoresis — autonomic stress response</w:t>
      </w:r>
    </w:p>
    <w:p>
      <w:pPr>
        <w:spacing w:after="200" w:line="276" w:lineRule="auto"/>
      </w:pPr>
      <w:r>
        <w:t>• ST elevation — acute coronary occlusion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Obtain a full history — does not match the characteristic feature/management described in the stem</w:t>
      </w:r>
    </w:p>
    <w:p>
      <w:pPr>
        <w:spacing w:after="200" w:line="276" w:lineRule="auto"/>
      </w:pPr>
      <w:r>
        <w:t>C. Insert a Foley catheter — does not match the characteristic feature/management described in the stem</w:t>
      </w:r>
    </w:p>
    <w:p>
      <w:pPr>
        <w:spacing w:after="200" w:line="276" w:lineRule="auto"/>
      </w:pPr>
      <w:r>
        <w:t>D. Wait for cardiology rounds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fever of 38.8°C is irritable but drinking well. The best nursing action is</w:t>
      </w:r>
    </w:p>
    <w:p>
      <w:pPr>
        <w:spacing w:after="200" w:line="276" w:lineRule="auto"/>
      </w:pPr>
      <w:r>
        <w:t>(a) Sponge with cold water</w:t>
      </w:r>
    </w:p>
    <w:p>
      <w:pPr>
        <w:spacing w:after="200" w:line="276" w:lineRule="auto"/>
      </w:pPr>
      <w:r>
        <w:t>(b) Cover warmly to induce sweating</w:t>
      </w:r>
    </w:p>
    <w:p>
      <w:pPr>
        <w:spacing w:after="200" w:line="276" w:lineRule="auto"/>
      </w:pPr>
      <w:r>
        <w:t>(c) Withhold fluids</w:t>
      </w:r>
    </w:p>
    <w:p>
      <w:pPr>
        <w:spacing w:after="200" w:line="276" w:lineRule="auto"/>
      </w:pPr>
      <w:r>
        <w:t>(d) Encourage fluids, light clothing and paracetamol as prescribed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Encourage fluids, light clothing and paracetamol as prescribed</w:t>
      </w:r>
    </w:p>
    <w:p>
      <w:pPr>
        <w:spacing w:after="200" w:line="276" w:lineRule="auto"/>
      </w:pPr>
      <w:r>
        <w:t>🧠 Clinical Rationale: Comfort measures + adequate hydration + antipyretics; avoid cold sponging (shivering raises temp).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Sponge with cold water — would be appropriate in a different situation, not this one</w:t>
      </w:r>
    </w:p>
    <w:p>
      <w:pPr>
        <w:spacing w:after="200" w:line="276" w:lineRule="auto"/>
      </w:pPr>
      <w:r>
        <w:t>B. Cover warmly to induce sweating — would be appropriate in a different situation, not this one</w:t>
      </w:r>
    </w:p>
    <w:p>
      <w:pPr>
        <w:spacing w:after="200" w:line="276" w:lineRule="auto"/>
      </w:pPr>
      <w:r>
        <w:t>C. Withhold fluids — would be appropriate in a different situation, not this one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 reports her 6-month-old missed the 14-week pentavalent dose. What should the nurse advise?</w:t>
      </w:r>
    </w:p>
    <w:p>
      <w:pPr>
        <w:spacing w:after="200" w:line="276" w:lineRule="auto"/>
      </w:pPr>
      <w:r>
        <w:t>(a) Restart the whole schedule</w:t>
      </w:r>
    </w:p>
    <w:p>
      <w:pPr>
        <w:spacing w:after="200" w:line="276" w:lineRule="auto"/>
      </w:pPr>
      <w:r>
        <w:t>(b) Skip all future doses</w:t>
      </w:r>
    </w:p>
    <w:p>
      <w:pPr>
        <w:spacing w:after="200" w:line="276" w:lineRule="auto"/>
      </w:pPr>
      <w:r>
        <w:t>(c) Wait one year</w:t>
      </w:r>
    </w:p>
    <w:p>
      <w:pPr>
        <w:spacing w:after="200" w:line="276" w:lineRule="auto"/>
      </w:pPr>
      <w:r>
        <w:t>(d) Give the missed dose now and continue the schedule (no restart)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Give the missed dose now and continue the schedule (no restart)</w:t>
      </w:r>
    </w:p>
    <w:p>
      <w:pPr>
        <w:spacing w:after="200" w:line="276" w:lineRule="auto"/>
      </w:pPr>
      <w:r>
        <w:t>🧠 Clinical Rationale: Missed doses are given at the next visit without restarting the series.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Restart the whole schedule — would be appropriate in a different situation, not this one</w:t>
      </w:r>
    </w:p>
    <w:p>
      <w:pPr>
        <w:spacing w:after="200" w:line="276" w:lineRule="auto"/>
      </w:pPr>
      <w:r>
        <w:t>B. Skip all future doses — would be appropriate in a different situation, not this one</w:t>
      </w:r>
    </w:p>
    <w:p>
      <w:pPr>
        <w:spacing w:after="200" w:line="276" w:lineRule="auto"/>
      </w:pPr>
      <w:r>
        <w:t>C. Wait one year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antenatal symptom warrants immediate evaluation?</w:t>
      </w:r>
    </w:p>
    <w:p>
      <w:pPr>
        <w:spacing w:after="200" w:line="276" w:lineRule="auto"/>
      </w:pPr>
      <w:r>
        <w:t>(a) Mild heartburn after meals</w:t>
      </w:r>
    </w:p>
    <w:p>
      <w:pPr>
        <w:spacing w:after="200" w:line="276" w:lineRule="auto"/>
      </w:pPr>
      <w:r>
        <w:t>(b) Vaginal bleeding with abdominal pain</w:t>
      </w:r>
    </w:p>
    <w:p>
      <w:pPr>
        <w:spacing w:after="200" w:line="276" w:lineRule="auto"/>
      </w:pPr>
      <w:r>
        <w:t>(c) Occasional backache</w:t>
      </w:r>
    </w:p>
    <w:p>
      <w:pPr>
        <w:spacing w:after="200" w:line="276" w:lineRule="auto"/>
      </w:pPr>
      <w:r>
        <w:t>(d) Frequency of urination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Vaginal bleeding with abdominal pain</w:t>
      </w:r>
    </w:p>
    <w:p>
      <w:pPr>
        <w:spacing w:after="200" w:line="276" w:lineRule="auto"/>
      </w:pPr>
      <w:r>
        <w:t>🧠 Clinical Rationale: Bleeding in pregnancy is a red flag (abruption, praevia) — urgent assessment.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heartburn after meals — does not match the characteristic feature/management described in the stem</w:t>
      </w:r>
    </w:p>
    <w:p>
      <w:pPr>
        <w:spacing w:after="200" w:line="276" w:lineRule="auto"/>
      </w:pPr>
      <w:r>
        <w:t>C. Occasional backache — does not match the characteristic feature/management described in the stem</w:t>
      </w:r>
    </w:p>
    <w:p>
      <w:pPr>
        <w:spacing w:after="200" w:line="276" w:lineRule="auto"/>
      </w:pPr>
      <w:r>
        <w:t>D. Frequency of urination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Intermittent bubbling in the water seal chamber of a chest drain indicates</w:t>
      </w:r>
    </w:p>
    <w:p>
      <w:pPr>
        <w:spacing w:after="200" w:line="276" w:lineRule="auto"/>
      </w:pPr>
      <w:r>
        <w:t>(a) Air escaping from the pleural space (normal during lung expansion)</w:t>
      </w:r>
    </w:p>
    <w:p>
      <w:pPr>
        <w:spacing w:after="200" w:line="276" w:lineRule="auto"/>
      </w:pPr>
      <w:r>
        <w:t>(b) Tube obstruction</w:t>
      </w:r>
    </w:p>
    <w:p>
      <w:pPr>
        <w:spacing w:after="200" w:line="276" w:lineRule="auto"/>
      </w:pPr>
      <w:r>
        <w:t>(c) Bleeding</w:t>
      </w:r>
    </w:p>
    <w:p>
      <w:pPr>
        <w:spacing w:after="200" w:line="276" w:lineRule="auto"/>
      </w:pPr>
      <w:r>
        <w:t>(d) Drain disconnection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Air escaping from the pleural space (normal during lung expansion)</w:t>
      </w:r>
    </w:p>
    <w:p>
      <w:pPr>
        <w:spacing w:after="200" w:line="276" w:lineRule="auto"/>
      </w:pPr>
      <w:r>
        <w:t>🧠 Clinical Rationale: Intermittent bubbling = air leak resolving; continuous bubbling suggests a persistent leak.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Tube obstruction — would be appropriate in a different situation, not this one</w:t>
      </w:r>
    </w:p>
    <w:p>
      <w:pPr>
        <w:spacing w:after="200" w:line="276" w:lineRule="auto"/>
      </w:pPr>
      <w:r>
        <w:t>C. Bleeding — would be appropriate in a different situation, not this one</w:t>
      </w:r>
    </w:p>
    <w:p>
      <w:pPr>
        <w:spacing w:after="200" w:line="276" w:lineRule="auto"/>
      </w:pPr>
      <w:r>
        <w:t>D. Drain disconnection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giving digoxin, the nurse must check</w:t>
      </w:r>
    </w:p>
    <w:p>
      <w:pPr>
        <w:spacing w:after="200" w:line="276" w:lineRule="auto"/>
      </w:pPr>
      <w:r>
        <w:t>(a) Blood sugar</w:t>
      </w:r>
    </w:p>
    <w:p>
      <w:pPr>
        <w:spacing w:after="200" w:line="276" w:lineRule="auto"/>
      </w:pPr>
      <w:r>
        <w:t>(b) Respiratory rate only</w:t>
      </w:r>
    </w:p>
    <w:p>
      <w:pPr>
        <w:spacing w:after="200" w:line="276" w:lineRule="auto"/>
      </w:pPr>
      <w:r>
        <w:t>(c) Urine output</w:t>
      </w:r>
    </w:p>
    <w:p>
      <w:pPr>
        <w:spacing w:after="200" w:line="276" w:lineRule="auto"/>
      </w:pPr>
      <w:r>
        <w:t>(d) Apical heart rate for one full minute (hold if &lt;60 bpm)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Apical heart rate for one full minute (hold if &lt;60 bpm)</w:t>
      </w:r>
    </w:p>
    <w:p>
      <w:pPr>
        <w:spacing w:after="200" w:line="276" w:lineRule="auto"/>
      </w:pPr>
      <w:r>
        <w:t>🧠 Clinical Rationale: Digoxin slows conduction — bradycardia or new rhythm disturbance warrants holding the dose.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sugar — does not match the characteristic feature/management described in the stem</w:t>
      </w:r>
    </w:p>
    <w:p>
      <w:pPr>
        <w:spacing w:after="200" w:line="276" w:lineRule="auto"/>
      </w:pPr>
      <w:r>
        <w:t>B. Respiratory rate only — does not match the characteristic feature/management described in the stem</w:t>
      </w:r>
    </w:p>
    <w:p>
      <w:pPr>
        <w:spacing w:after="200" w:line="276" w:lineRule="auto"/>
      </w:pPr>
      <w:r>
        <w:t>C. Urine output — does not match the characteristic feature/management described in the stem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some dehydration (some signs) and no vomiting is treated with</w:t>
      </w:r>
    </w:p>
    <w:p>
      <w:pPr>
        <w:spacing w:after="200" w:line="276" w:lineRule="auto"/>
      </w:pPr>
      <w:r>
        <w:t>(a) ORS 75 mL/kg over 4 hours in small frequent sips</w:t>
      </w:r>
    </w:p>
    <w:p>
      <w:pPr>
        <w:spacing w:after="200" w:line="276" w:lineRule="auto"/>
      </w:pPr>
      <w:r>
        <w:t>(b) IV fluids immediately</w:t>
      </w:r>
    </w:p>
    <w:p>
      <w:pPr>
        <w:spacing w:after="200" w:line="276" w:lineRule="auto"/>
      </w:pPr>
      <w:r>
        <w:t>(c) Plain water only</w:t>
      </w:r>
    </w:p>
    <w:p>
      <w:pPr>
        <w:spacing w:after="200" w:line="276" w:lineRule="auto"/>
      </w:pPr>
      <w:r>
        <w:t>(d) No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ORS 75 mL/kg over 4 hours in small frequent sips</w:t>
      </w:r>
    </w:p>
    <w:p>
      <w:pPr>
        <w:spacing w:after="200" w:line="276" w:lineRule="auto"/>
      </w:pPr>
      <w:r>
        <w:t>🧠 Clinical Rationale: WHO Plan B: ORS 75 mL/kg over 4 hours; reassess and continue breastfeeding.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IV fluids immediately — would be appropriate in a different situation, not this one</w:t>
      </w:r>
    </w:p>
    <w:p>
      <w:pPr>
        <w:spacing w:after="200" w:line="276" w:lineRule="auto"/>
      </w:pPr>
      <w:r>
        <w:t>C. Plain water only — would be appropriate in a different situation, not this one</w:t>
      </w:r>
    </w:p>
    <w:p>
      <w:pPr>
        <w:spacing w:after="200" w:line="276" w:lineRule="auto"/>
      </w:pPr>
      <w:r>
        <w:t>D. No fluids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depressed patient says, 'Everyone would be better off without me.' The PRIORITY is to</w:t>
      </w:r>
    </w:p>
    <w:p>
      <w:pPr>
        <w:spacing w:after="200" w:line="276" w:lineRule="auto"/>
      </w:pPr>
      <w:r>
        <w:t>(a) Reassure and change the topic</w:t>
      </w:r>
    </w:p>
    <w:p>
      <w:pPr>
        <w:spacing w:after="200" w:line="276" w:lineRule="auto"/>
      </w:pPr>
      <w:r>
        <w:t>(b) Discharge early</w:t>
      </w:r>
    </w:p>
    <w:p>
      <w:pPr>
        <w:spacing w:after="200" w:line="276" w:lineRule="auto"/>
      </w:pPr>
      <w:r>
        <w:t>(c) Assess for suicidal intent, plan and means, and ensure safety</w:t>
      </w:r>
    </w:p>
    <w:p>
      <w:pPr>
        <w:spacing w:after="200" w:line="276" w:lineRule="auto"/>
      </w:pPr>
      <w:r>
        <w:t>(d) Ignore the comment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Assess for suicidal intent, plan and means, and ensure safety</w:t>
      </w:r>
    </w:p>
    <w:p>
      <w:pPr>
        <w:spacing w:after="200" w:line="276" w:lineRule="auto"/>
      </w:pPr>
      <w:r>
        <w:t>🧠 Clinical Rationale: Direct questioning about suicide does not increase risk — assess and protect.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Depression - Safety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Assess for suicidal intent, plan and means, and ensure safety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Reassure and change the topic — does not address the immediate life-threatening problem (ABC comes first)</w:t>
      </w:r>
    </w:p>
    <w:p>
      <w:pPr>
        <w:spacing w:after="200" w:line="276" w:lineRule="auto"/>
      </w:pPr>
      <w:r>
        <w:t>B. Discharge early — does not address the immediate life-threatening problem (ABC comes first)</w:t>
      </w:r>
    </w:p>
    <w:p>
      <w:pPr>
        <w:spacing w:after="200" w:line="276" w:lineRule="auto"/>
      </w:pPr>
      <w:r>
        <w:t>D. Ignore the comment — does not address the immediate life-threatening problem (ABC comes first)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giving a stroke patient anything by mouth, the nurse must</w:t>
      </w:r>
    </w:p>
    <w:p>
      <w:pPr>
        <w:spacing w:after="200" w:line="276" w:lineRule="auto"/>
      </w:pPr>
      <w:r>
        <w:t>(a) Complete a swallow screening</w:t>
      </w:r>
    </w:p>
    <w:p>
      <w:pPr>
        <w:spacing w:after="200" w:line="276" w:lineRule="auto"/>
      </w:pPr>
      <w:r>
        <w:t>(b) Give a large meal</w:t>
      </w:r>
    </w:p>
    <w:p>
      <w:pPr>
        <w:spacing w:after="200" w:line="276" w:lineRule="auto"/>
      </w:pPr>
      <w:r>
        <w:t>(c) Start NG feeding routinely</w:t>
      </w:r>
    </w:p>
    <w:p>
      <w:pPr>
        <w:spacing w:after="200" w:line="276" w:lineRule="auto"/>
      </w:pPr>
      <w:r>
        <w:t>(d) Offer thin liquids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Complete a swallow screening</w:t>
      </w:r>
    </w:p>
    <w:p>
      <w:pPr>
        <w:spacing w:after="200" w:line="276" w:lineRule="auto"/>
      </w:pPr>
      <w:r>
        <w:t>🧠 Clinical Rationale: Dysphagia is common post-stroke — screen first to prevent aspiration pneumonia.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a large meal — does not match the characteristic feature/management described in the stem</w:t>
      </w:r>
    </w:p>
    <w:p>
      <w:pPr>
        <w:spacing w:after="200" w:line="276" w:lineRule="auto"/>
      </w:pPr>
      <w:r>
        <w:t>C. Start NG feeding routinely — does not match the characteristic feature/management described in the stem</w:t>
      </w:r>
    </w:p>
    <w:p>
      <w:pPr>
        <w:spacing w:after="200" w:line="276" w:lineRule="auto"/>
      </w:pPr>
      <w:r>
        <w:t>D. Offer thin liquids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immobile patient at risk of pressure injury should be repositioned every</w:t>
      </w:r>
    </w:p>
    <w:p>
      <w:pPr>
        <w:spacing w:after="200" w:line="276" w:lineRule="auto"/>
      </w:pPr>
      <w:r>
        <w:t>(a) 6 hours</w:t>
      </w:r>
    </w:p>
    <w:p>
      <w:pPr>
        <w:spacing w:after="200" w:line="276" w:lineRule="auto"/>
      </w:pPr>
      <w:r>
        <w:t>(b) 12 hours</w:t>
      </w:r>
    </w:p>
    <w:p>
      <w:pPr>
        <w:spacing w:after="200" w:line="276" w:lineRule="auto"/>
      </w:pPr>
      <w:r>
        <w:t>(c) 2 hours</w:t>
      </w:r>
    </w:p>
    <w:p>
      <w:pPr>
        <w:spacing w:after="200" w:line="276" w:lineRule="auto"/>
      </w:pPr>
      <w:r>
        <w:t>(d) 24 hours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 hours</w:t>
      </w:r>
    </w:p>
    <w:p>
      <w:pPr>
        <w:spacing w:after="200" w:line="276" w:lineRule="auto"/>
      </w:pPr>
      <w:r>
        <w:t>🧠 Clinical Rationale: Two-hourly turning with pressure-relieving surfaces prevents tissue ischaemia.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hours — would be appropriate in a different situation, not this one</w:t>
      </w:r>
    </w:p>
    <w:p>
      <w:pPr>
        <w:spacing w:after="200" w:line="276" w:lineRule="auto"/>
      </w:pPr>
      <w:r>
        <w:t>B. 12 hours — would be appropriate in a different situation, not this one</w:t>
      </w:r>
    </w:p>
    <w:p>
      <w:pPr>
        <w:spacing w:after="200" w:line="276" w:lineRule="auto"/>
      </w:pPr>
      <w:r>
        <w:t>D. 24 hours — would be appropriate in a different situation, not this one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purpose of DOTS in TB treatment is to</w:t>
      </w:r>
    </w:p>
    <w:p>
      <w:pPr>
        <w:spacing w:after="200" w:line="276" w:lineRule="auto"/>
      </w:pPr>
      <w:r>
        <w:t>(a) Reduce side effects</w:t>
      </w:r>
    </w:p>
    <w:p>
      <w:pPr>
        <w:spacing w:after="200" w:line="276" w:lineRule="auto"/>
      </w:pPr>
      <w:r>
        <w:t>(b) Shorten the regimen</w:t>
      </w:r>
    </w:p>
    <w:p>
      <w:pPr>
        <w:spacing w:after="200" w:line="276" w:lineRule="auto"/>
      </w:pPr>
      <w:r>
        <w:t>(c) Ensure adherence through direct observation of each dose</w:t>
      </w:r>
    </w:p>
    <w:p>
      <w:pPr>
        <w:spacing w:after="200" w:line="276" w:lineRule="auto"/>
      </w:pPr>
      <w:r>
        <w:t>(d) Replace medication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Ensure adherence through direct observation of each dose</w:t>
      </w:r>
    </w:p>
    <w:p>
      <w:pPr>
        <w:spacing w:after="200" w:line="276" w:lineRule="auto"/>
      </w:pPr>
      <w:r>
        <w:t>🧠 Clinical Rationale: Direct observation guarantees completion of the full anti-TB course, preventing resistance.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side effects — would be appropriate in a different situation, not this one</w:t>
      </w:r>
    </w:p>
    <w:p>
      <w:pPr>
        <w:spacing w:after="200" w:line="276" w:lineRule="auto"/>
      </w:pPr>
      <w:r>
        <w:t>B. Shorten the regimen — would be appropriate in a different situation, not this one</w:t>
      </w:r>
    </w:p>
    <w:p>
      <w:pPr>
        <w:spacing w:after="200" w:line="276" w:lineRule="auto"/>
      </w:pPr>
      <w:r>
        <w:t>D. Replace medication — would be appropriate in a different situation, not this one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conscious diabetic patient with blood glucose 52 mg/dL and sweating should receive</w:t>
      </w:r>
    </w:p>
    <w:p>
      <w:pPr>
        <w:spacing w:after="200" w:line="276" w:lineRule="auto"/>
      </w:pPr>
      <w:r>
        <w:t>(a) Long-acting insulin</w:t>
      </w:r>
    </w:p>
    <w:p>
      <w:pPr>
        <w:spacing w:after="200" w:line="276" w:lineRule="auto"/>
      </w:pPr>
      <w:r>
        <w:t>(b) 15 g fast-acting carbohydrate (glucose tablets/juice)</w:t>
      </w:r>
    </w:p>
    <w:p>
      <w:pPr>
        <w:spacing w:after="200" w:line="276" w:lineRule="auto"/>
      </w:pPr>
      <w:r>
        <w:t>(c) A heavy fatty meal</w:t>
      </w:r>
    </w:p>
    <w:p>
      <w:pPr>
        <w:spacing w:after="200" w:line="276" w:lineRule="auto"/>
      </w:pPr>
      <w:r>
        <w:t>(d) Water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15 g fast-acting carbohydrate (glucose tablets/juice)</w:t>
      </w:r>
    </w:p>
    <w:p>
      <w:pPr>
        <w:spacing w:after="200" w:line="276" w:lineRule="auto"/>
      </w:pPr>
      <w:r>
        <w:t>🧠 Clinical Rationale: 15 g rapid carbs, recheck in 15 min, then a longer-acting snack to prevent recurrence.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52 mg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Hypoglycaemia - Conscious Patient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15 g fast-acting carbohydrate (glucose tablets/juice)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Long-acting insulin — does not address the immediate life-threatening problem (ABC comes first)</w:t>
      </w:r>
    </w:p>
    <w:p>
      <w:pPr>
        <w:spacing w:after="200" w:line="276" w:lineRule="auto"/>
      </w:pPr>
      <w:r>
        <w:t>C. A heavy fatty meal — does not address the immediate life-threatening problem (ABC comes first)</w:t>
      </w:r>
    </w:p>
    <w:p>
      <w:pPr>
        <w:spacing w:after="200" w:line="276" w:lineRule="auto"/>
      </w:pPr>
      <w:r>
        <w:t>D. Water only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Uterine contractions are assessed for</w:t>
      </w:r>
    </w:p>
    <w:p>
      <w:pPr>
        <w:spacing w:after="200" w:line="276" w:lineRule="auto"/>
      </w:pPr>
      <w:r>
        <w:t>(a) Frequency, duration and intensity</w:t>
      </w:r>
    </w:p>
    <w:p>
      <w:pPr>
        <w:spacing w:after="200" w:line="276" w:lineRule="auto"/>
      </w:pPr>
      <w:r>
        <w:t>(b) Only colour</w:t>
      </w:r>
    </w:p>
    <w:p>
      <w:pPr>
        <w:spacing w:after="200" w:line="276" w:lineRule="auto"/>
      </w:pPr>
      <w:r>
        <w:t>(c) Only location</w:t>
      </w:r>
    </w:p>
    <w:p>
      <w:pPr>
        <w:spacing w:after="200" w:line="276" w:lineRule="auto"/>
      </w:pPr>
      <w:r>
        <w:t>(d) Only pain level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Frequency, duration and intensity</w:t>
      </w:r>
    </w:p>
    <w:p>
      <w:pPr>
        <w:spacing w:after="200" w:line="276" w:lineRule="auto"/>
      </w:pPr>
      <w:r>
        <w:t>🧠 Clinical Rationale: Frequency (start to start), duration, and intensity by palpation/monitoring guide labour progress.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colour — would be appropriate in a different situation, not this one</w:t>
      </w:r>
    </w:p>
    <w:p>
      <w:pPr>
        <w:spacing w:after="200" w:line="276" w:lineRule="auto"/>
      </w:pPr>
      <w:r>
        <w:t>C. Only location — would be appropriate in a different situation, not this one</w:t>
      </w:r>
    </w:p>
    <w:p>
      <w:pPr>
        <w:spacing w:after="200" w:line="276" w:lineRule="auto"/>
      </w:pPr>
      <w:r>
        <w:t>D. Only pain level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febrile seizure, the nurse should</w:t>
      </w:r>
    </w:p>
    <w:p>
      <w:pPr>
        <w:spacing w:after="200" w:line="276" w:lineRule="auto"/>
      </w:pPr>
      <w:r>
        <w:t>(a) Protect the child, note the time, and position lateral after it stops</w:t>
      </w:r>
    </w:p>
    <w:p>
      <w:pPr>
        <w:spacing w:after="200" w:line="276" w:lineRule="auto"/>
      </w:pPr>
      <w:r>
        <w:t>(b) Restrain the limbs</w:t>
      </w:r>
    </w:p>
    <w:p>
      <w:pPr>
        <w:spacing w:after="200" w:line="276" w:lineRule="auto"/>
      </w:pPr>
      <w:r>
        <w:t>(c) Put a spoon in the mouth</w:t>
      </w:r>
    </w:p>
    <w:p>
      <w:pPr>
        <w:spacing w:after="200" w:line="276" w:lineRule="auto"/>
      </w:pPr>
      <w:r>
        <w:t>(d) Give oral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Protect the child, note the time, and position lateral after it stops</w:t>
      </w:r>
    </w:p>
    <w:p>
      <w:pPr>
        <w:spacing w:after="200" w:line="276" w:lineRule="auto"/>
      </w:pPr>
      <w:r>
        <w:t>🧠 Clinical Rationale: Protect from injury, observe duration, and manage fever; most simple febrile seizures are benign.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Restrain the limbs — does not match the characteristic feature/management described in the stem</w:t>
      </w:r>
    </w:p>
    <w:p>
      <w:pPr>
        <w:spacing w:after="200" w:line="276" w:lineRule="auto"/>
      </w:pPr>
      <w:r>
        <w:t>C. Put a spoon in the mouth — does not match the characteristic feature/management described in the stem</w:t>
      </w:r>
    </w:p>
    <w:p>
      <w:pPr>
        <w:spacing w:after="200" w:line="276" w:lineRule="auto"/>
      </w:pPr>
      <w:r>
        <w:t>D. Give oral fluids — does not match the characteristic feature/management described in the stem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nephrotic syndrome will MOST likely show</w:t>
      </w:r>
    </w:p>
    <w:p>
      <w:pPr>
        <w:spacing w:after="200" w:line="276" w:lineRule="auto"/>
      </w:pPr>
      <w:r>
        <w:t>(a) Polyuria and polydipsia</w:t>
      </w:r>
    </w:p>
    <w:p>
      <w:pPr>
        <w:spacing w:after="200" w:line="276" w:lineRule="auto"/>
      </w:pPr>
      <w:r>
        <w:t>(b) Hypertension with haematuria</w:t>
      </w:r>
    </w:p>
    <w:p>
      <w:pPr>
        <w:spacing w:after="200" w:line="276" w:lineRule="auto"/>
      </w:pPr>
      <w:r>
        <w:t>(c) Dehydration</w:t>
      </w:r>
    </w:p>
    <w:p>
      <w:pPr>
        <w:spacing w:after="200" w:line="276" w:lineRule="auto"/>
      </w:pPr>
      <w:r>
        <w:t>(d) Generalised oedema, proteinuria and hypoalbuminaemia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Generalised oedema, proteinuria and hypoalbuminaemia</w:t>
      </w:r>
    </w:p>
    <w:p>
      <w:pPr>
        <w:spacing w:after="200" w:line="276" w:lineRule="auto"/>
      </w:pPr>
      <w:r>
        <w:t>🧠 Clinical Rationale: Nephrotic syndrome = heavy proteinuria, low albumin, oedema; watch for infection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Polyuria and polydipsia — does not match the characteristic feature/management described in the stem</w:t>
      </w:r>
    </w:p>
    <w:p>
      <w:pPr>
        <w:spacing w:after="200" w:line="276" w:lineRule="auto"/>
      </w:pPr>
      <w:r>
        <w:t>B. Hypertension with haematuria — does not match the characteristic feature/management described in the stem</w:t>
      </w:r>
    </w:p>
    <w:p>
      <w:pPr>
        <w:spacing w:after="200" w:line="276" w:lineRule="auto"/>
      </w:pPr>
      <w:r>
        <w:t>C. Dehydration — does not match the characteristic feature/management described in the stem</w:t>
      </w:r>
    </w:p>
    <w:p>
      <w:pPr>
        <w:spacing w:after="200" w:line="276" w:lineRule="auto"/>
      </w:pPr>
      <w:r>
        <w:t>⚠️ Exam Trap: Nephrotic = protein LOSS (proteinuria, hypoalbuminaemia); nephritic = blood in urine with hypertension — the distinction is exam gold.</w:t>
      </w:r>
    </w:p>
    <w:p>
      <w:pPr>
        <w:spacing w:after="200" w:line="276" w:lineRule="auto"/>
      </w:pPr>
      <w:r>
        <w:t>💎 PNC Pearl: Nephrotic syndrome: heavy proteinuria + hypoalbuminaemia + oedema — steroid therapy and daily weight are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Nephrotic syndrome</w:t>
      </w:r>
    </w:p>
    <w:p>
      <w:pPr>
        <w:spacing w:after="200" w:line="276" w:lineRule="auto"/>
      </w:pPr>
      <w:r>
        <w:t>→ Clues: frothy urine (heavy proteinuria), severe oedema, hypoalbuminaemia, hyperlipidaemia</w:t>
      </w:r>
    </w:p>
    <w:p>
      <w:pPr>
        <w:spacing w:after="200" w:line="276" w:lineRule="auto"/>
      </w:pPr>
      <w:r>
        <w:t>→ Complications: infection, thrombosis, acute kidney injury</w:t>
      </w:r>
    </w:p>
    <w:p>
      <w:pPr>
        <w:spacing w:after="200" w:line="276" w:lineRule="auto"/>
      </w:pPr>
      <w:r>
        <w:t>→ Treatment: corticosteroids (children respond well), diuretics, low-salt diet</w:t>
      </w:r>
    </w:p>
    <w:p>
      <w:pPr>
        <w:spacing w:after="200" w:line="276" w:lineRule="auto"/>
      </w:pPr>
      <w:r>
        <w:t>→ Monitor: daily weight, urine protein,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useful non-pharmacological technique for anxiety is</w:t>
      </w:r>
    </w:p>
    <w:p>
      <w:pPr>
        <w:spacing w:after="200" w:line="276" w:lineRule="auto"/>
      </w:pPr>
      <w:r>
        <w:t>(a) Isolation</w:t>
      </w:r>
    </w:p>
    <w:p>
      <w:pPr>
        <w:spacing w:after="200" w:line="276" w:lineRule="auto"/>
      </w:pPr>
      <w:r>
        <w:t>(b) Deep breathing and progressive muscle relaxation</w:t>
      </w:r>
    </w:p>
    <w:p>
      <w:pPr>
        <w:spacing w:after="200" w:line="276" w:lineRule="auto"/>
      </w:pPr>
      <w:r>
        <w:t>(c) Caffeine intake</w:t>
      </w:r>
    </w:p>
    <w:p>
      <w:pPr>
        <w:spacing w:after="200" w:line="276" w:lineRule="auto"/>
      </w:pPr>
      <w:r>
        <w:t>(d) Avoiding all activity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Deep breathing and progressive muscle relaxation</w:t>
      </w:r>
    </w:p>
    <w:p>
      <w:pPr>
        <w:spacing w:after="200" w:line="276" w:lineRule="auto"/>
      </w:pPr>
      <w:r>
        <w:t>🧠 Clinical Rationale: Relaxation techniques reduce sympathetic arousal and empower the patient.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Isolation — would be appropriate in a different situation, not this one</w:t>
      </w:r>
    </w:p>
    <w:p>
      <w:pPr>
        <w:spacing w:after="200" w:line="276" w:lineRule="auto"/>
      </w:pPr>
      <w:r>
        <w:t>C. Caffeine intake — would be appropriate in a different situation, not this one</w:t>
      </w:r>
    </w:p>
    <w:p>
      <w:pPr>
        <w:spacing w:after="200" w:line="276" w:lineRule="auto"/>
      </w:pPr>
      <w:r>
        <w:t>D. Avoiding all activity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MRSA wound infection requires</w:t>
      </w:r>
    </w:p>
    <w:p>
      <w:pPr>
        <w:spacing w:after="200" w:line="276" w:lineRule="auto"/>
      </w:pPr>
      <w:r>
        <w:t>(a) Airborne precautions</w:t>
      </w:r>
    </w:p>
    <w:p>
      <w:pPr>
        <w:spacing w:after="200" w:line="276" w:lineRule="auto"/>
      </w:pPr>
      <w:r>
        <w:t>(b) No precautions</w:t>
      </w:r>
    </w:p>
    <w:p>
      <w:pPr>
        <w:spacing w:after="200" w:line="276" w:lineRule="auto"/>
      </w:pPr>
      <w:r>
        <w:t>(c) Negative pressure room</w:t>
      </w:r>
    </w:p>
    <w:p>
      <w:pPr>
        <w:spacing w:after="200" w:line="276" w:lineRule="auto"/>
      </w:pPr>
      <w:r>
        <w:t>(d) Contact precautions (gloves, gown) and dedicated equipment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Contact precautions (gloves, gown) and dedicated equipment</w:t>
      </w:r>
    </w:p>
    <w:p>
      <w:pPr>
        <w:spacing w:after="200" w:line="276" w:lineRule="auto"/>
      </w:pPr>
      <w:r>
        <w:t>🧠 Clinical Rationale: MRSA spreads by contact — gloves, gown, hand hygiene and equipment segregation.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Airborne precautions — would be appropriate in a different situation, not this one</w:t>
      </w:r>
    </w:p>
    <w:p>
      <w:pPr>
        <w:spacing w:after="200" w:line="276" w:lineRule="auto"/>
      </w:pPr>
      <w:r>
        <w:t>B. No precautions — would be appropriate in a different situation, not this one</w:t>
      </w:r>
    </w:p>
    <w:p>
      <w:pPr>
        <w:spacing w:after="200" w:line="276" w:lineRule="auto"/>
      </w:pPr>
      <w:r>
        <w:t>C. Negative pressure room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Calf pain on dorsiflexion of the foot suggests</w:t>
      </w:r>
    </w:p>
    <w:p>
      <w:pPr>
        <w:spacing w:after="200" w:line="276" w:lineRule="auto"/>
      </w:pPr>
      <w:r>
        <w:t>(a) Normal finding</w:t>
      </w:r>
    </w:p>
    <w:p>
      <w:pPr>
        <w:spacing w:after="200" w:line="276" w:lineRule="auto"/>
      </w:pPr>
      <w:r>
        <w:t>(b) Arterial disease</w:t>
      </w:r>
    </w:p>
    <w:p>
      <w:pPr>
        <w:spacing w:after="200" w:line="276" w:lineRule="auto"/>
      </w:pPr>
      <w:r>
        <w:t>(c) Possible deep vein thrombosis</w:t>
      </w:r>
    </w:p>
    <w:p>
      <w:pPr>
        <w:spacing w:after="200" w:line="276" w:lineRule="auto"/>
      </w:pPr>
      <w:r>
        <w:t>(d) Fracture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Possible deep vein thrombosis</w:t>
      </w:r>
    </w:p>
    <w:p>
      <w:pPr>
        <w:spacing w:after="200" w:line="276" w:lineRule="auto"/>
      </w:pPr>
      <w:r>
        <w:t>🧠 Clinical Rationale: Homans sign is suggestive but not diagnostic — confirm with compression ultrasound.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finding — plausible, but not the single most accurate fact asked</w:t>
      </w:r>
    </w:p>
    <w:p>
      <w:pPr>
        <w:spacing w:after="200" w:line="276" w:lineRule="auto"/>
      </w:pPr>
      <w:r>
        <w:t>B. Arterial disease — plausible, but not the single most accurate fact asked</w:t>
      </w:r>
    </w:p>
    <w:p>
      <w:pPr>
        <w:spacing w:after="200" w:line="276" w:lineRule="auto"/>
      </w:pPr>
      <w:r>
        <w:t>D. Fracture — plausible, but not the single most accurate fact asked</w:t>
      </w:r>
    </w:p>
    <w:p>
      <w:pPr>
        <w:spacing w:after="200" w:line="276" w:lineRule="auto"/>
      </w:pPr>
      <w:r>
        <w:t>⚠️ Exam Trap: Never massage or rub a leg with suspected DVT — the clot can embolise to the lungs (PE). Homans sign is unreliable.</w:t>
      </w:r>
    </w:p>
    <w:p>
      <w:pPr>
        <w:spacing w:after="200" w:line="276" w:lineRule="auto"/>
      </w:pPr>
      <w:r>
        <w:t>💎 PNC Pearl: DVT prevention is key: early mobilisation, compression stockings and sequential compression devices — never massage a suspected DVT leg.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injection sites are rotated to</w:t>
      </w:r>
    </w:p>
    <w:p>
      <w:pPr>
        <w:spacing w:after="200" w:line="276" w:lineRule="auto"/>
      </w:pPr>
      <w:r>
        <w:t>(a) Reduce pain only</w:t>
      </w:r>
    </w:p>
    <w:p>
      <w:pPr>
        <w:spacing w:after="200" w:line="276" w:lineRule="auto"/>
      </w:pPr>
      <w:r>
        <w:t>(b) Prevent lipohypertrophy and erratic absorption</w:t>
      </w:r>
    </w:p>
    <w:p>
      <w:pPr>
        <w:spacing w:after="200" w:line="276" w:lineRule="auto"/>
      </w:pPr>
      <w:r>
        <w:t>(c) Save cost</w:t>
      </w:r>
    </w:p>
    <w:p>
      <w:pPr>
        <w:spacing w:after="200" w:line="276" w:lineRule="auto"/>
      </w:pPr>
      <w:r>
        <w:t>(d) Increase dose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lipohypertrophy and erratic absorption</w:t>
      </w:r>
    </w:p>
    <w:p>
      <w:pPr>
        <w:spacing w:after="200" w:line="276" w:lineRule="auto"/>
      </w:pPr>
      <w:r>
        <w:t>🧠 Clinical Rationale: Rotating within regions keeps absorption consistent and prevents tissue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pain only — would be appropriate in a different situation, not this one</w:t>
      </w:r>
    </w:p>
    <w:p>
      <w:pPr>
        <w:spacing w:after="200" w:line="276" w:lineRule="auto"/>
      </w:pPr>
      <w:r>
        <w:t>C. Save cost — would be appropriate in a different situation, not this one</w:t>
      </w:r>
    </w:p>
    <w:p>
      <w:pPr>
        <w:spacing w:after="200" w:line="276" w:lineRule="auto"/>
      </w:pPr>
      <w:r>
        <w:t>D. Increase dose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the Parkland formula (4 mL/kg/% burn), the total 24-hour fluid for a 70 kg adult with 40% burns is</w:t>
      </w:r>
    </w:p>
    <w:p>
      <w:pPr>
        <w:spacing w:after="200" w:line="276" w:lineRule="auto"/>
      </w:pPr>
      <w:r>
        <w:t>(a) 5,600 mL</w:t>
      </w:r>
    </w:p>
    <w:p>
      <w:pPr>
        <w:spacing w:after="200" w:line="276" w:lineRule="auto"/>
      </w:pPr>
      <w:r>
        <w:t>(b) 2,800 mL</w:t>
      </w:r>
    </w:p>
    <w:p>
      <w:pPr>
        <w:spacing w:after="200" w:line="276" w:lineRule="auto"/>
      </w:pPr>
      <w:r>
        <w:t>(c) 11,200 mL</w:t>
      </w:r>
    </w:p>
    <w:p>
      <w:pPr>
        <w:spacing w:after="200" w:line="276" w:lineRule="auto"/>
      </w:pPr>
      <w:r>
        <w:t>(d) 8,400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11,200 mL</w:t>
      </w:r>
    </w:p>
    <w:p>
      <w:pPr>
        <w:spacing w:after="200" w:line="276" w:lineRule="auto"/>
      </w:pPr>
      <w:r>
        <w:t>🧠 Clinical Rationale: Total = 4 × 70 × 40 = 11,200 mL; half is given in the first 8 hours, half over the next 16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5,600 mL — would result from an error in formula or unit conversion</w:t>
      </w:r>
    </w:p>
    <w:p>
      <w:pPr>
        <w:spacing w:after="200" w:line="276" w:lineRule="auto"/>
      </w:pPr>
      <w:r>
        <w:t>B. 2,800 mL — would result from an error in formula or unit conversion</w:t>
      </w:r>
    </w:p>
    <w:p>
      <w:pPr>
        <w:spacing w:after="200" w:line="276" w:lineRule="auto"/>
      </w:pPr>
      <w:r>
        <w:t>D. 8,400 mL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