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FIRST action for a suspected severe adverse drug reaction is</w:t>
      </w:r>
    </w:p>
    <w:p>
      <w:pPr>
        <w:spacing w:after="200" w:line="276" w:lineRule="auto"/>
      </w:pPr>
      <w:r>
        <w:t>(a) Continue and observe</w:t>
      </w:r>
    </w:p>
    <w:p>
      <w:pPr>
        <w:spacing w:after="200" w:line="276" w:lineRule="auto"/>
      </w:pPr>
      <w:r>
        <w:t>(b) Stop the drug and assess the patient urgently</w:t>
      </w:r>
    </w:p>
    <w:p>
      <w:pPr>
        <w:spacing w:after="200" w:line="276" w:lineRule="auto"/>
      </w:pPr>
      <w:r>
        <w:t>(c) Give the next dose</w:t>
      </w:r>
    </w:p>
    <w:p>
      <w:pPr>
        <w:spacing w:after="200" w:line="276" w:lineRule="auto"/>
      </w:pPr>
      <w:r>
        <w:t>(d) Document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Stop the drug and assess the patient urgently</w:t>
      </w:r>
    </w:p>
    <w:p>
      <w:pPr>
        <w:spacing w:after="200" w:line="276" w:lineRule="auto"/>
      </w:pPr>
      <w:r>
        <w:t>🧠 Clinical Rationale: Stopping the culprit drug and stabilising the patient come before documentation.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Adverse Drug Reaction - Action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Stop the drug and assess the patient urgently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Continue and observe — does not address the immediate life-threatening problem (ABC comes first)</w:t>
      </w:r>
    </w:p>
    <w:p>
      <w:pPr>
        <w:spacing w:after="200" w:line="276" w:lineRule="auto"/>
      </w:pPr>
      <w:r>
        <w:t>C. Give the next dose — does not address the immediate life-threatening problem (ABC comes first)</w:t>
      </w:r>
    </w:p>
    <w:p>
      <w:pPr>
        <w:spacing w:after="200" w:line="276" w:lineRule="auto"/>
      </w:pPr>
      <w:r>
        <w:t>D. Document only — documentation — always after the intervention, never first</w:t>
      </w:r>
    </w:p>
    <w:p>
      <w:pPr>
        <w:spacing w:after="200" w:line="276" w:lineRule="auto"/>
      </w:pPr>
      <w:r>
        <w:t>⚠️ Exam Trap: Don't confuse 'first action' with 'next/important step'. In an unstable patient, stabilize first — diagnosis, notification and documentation come after.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In an unstable patient, ABC comes before diagnosis, notification and documentation.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acute gout attack is treated with</w:t>
      </w:r>
    </w:p>
    <w:p>
      <w:pPr>
        <w:spacing w:after="200" w:line="276" w:lineRule="auto"/>
      </w:pPr>
      <w:r>
        <w:t>(a) Allopurinol initiation during the flare</w:t>
      </w:r>
    </w:p>
    <w:p>
      <w:pPr>
        <w:spacing w:after="200" w:line="276" w:lineRule="auto"/>
      </w:pPr>
      <w:r>
        <w:t>(b) Diuretics</w:t>
      </w:r>
    </w:p>
    <w:p>
      <w:pPr>
        <w:spacing w:after="200" w:line="276" w:lineRule="auto"/>
      </w:pPr>
      <w:r>
        <w:t>(c) NSAIDs, colchicine or corticosteroids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NSAIDs, colchicine or corticosteroids</w:t>
      </w:r>
    </w:p>
    <w:p>
      <w:pPr>
        <w:spacing w:after="200" w:line="276" w:lineRule="auto"/>
      </w:pPr>
      <w:r>
        <w:t>🧠 Clinical Rationale: Treat acute inflammation first; start allopurinol only after the flare settles.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Allopurinol initiation during the flare — would be appropriate in a different situation, not this one</w:t>
      </w:r>
    </w:p>
    <w:p>
      <w:pPr>
        <w:spacing w:after="200" w:line="276" w:lineRule="auto"/>
      </w:pPr>
      <w:r>
        <w:t>B. Diuretics — would be appropriate in a different situation, not this one</w:t>
      </w:r>
    </w:p>
    <w:p>
      <w:pPr>
        <w:spacing w:after="200" w:line="276" w:lineRule="auto"/>
      </w:pPr>
      <w:r>
        <w:t>D. Antibiotics — would be appropriate in a different situation, not this one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School health services primarily aim to</w:t>
      </w:r>
    </w:p>
    <w:p>
      <w:pPr>
        <w:spacing w:after="200" w:line="276" w:lineRule="auto"/>
      </w:pPr>
      <w:r>
        <w:t>(a) Only treat emergencies</w:t>
      </w:r>
    </w:p>
    <w:p>
      <w:pPr>
        <w:spacing w:after="200" w:line="276" w:lineRule="auto"/>
      </w:pPr>
      <w:r>
        <w:t>(b) Conduct exams only</w:t>
      </w:r>
    </w:p>
    <w:p>
      <w:pPr>
        <w:spacing w:after="200" w:line="276" w:lineRule="auto"/>
      </w:pPr>
      <w:r>
        <w:t>(c) Sell medicines</w:t>
      </w:r>
    </w:p>
    <w:p>
      <w:pPr>
        <w:spacing w:after="200" w:line="276" w:lineRule="auto"/>
      </w:pPr>
      <w:r>
        <w:t>(d) Screen, prevent and promote health among school children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Screen, prevent and promote health among school children</w:t>
      </w:r>
    </w:p>
    <w:p>
      <w:pPr>
        <w:spacing w:after="200" w:line="276" w:lineRule="auto"/>
      </w:pPr>
      <w:r>
        <w:t>🧠 Clinical Rationale: School health = screening, immunisation, nutrition and health education.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treat emergencies — would be appropriate in a different situation, not this one</w:t>
      </w:r>
    </w:p>
    <w:p>
      <w:pPr>
        <w:spacing w:after="200" w:line="276" w:lineRule="auto"/>
      </w:pPr>
      <w:r>
        <w:t>B. Conduct exams only — would be appropriate in a different situation, not this one</w:t>
      </w:r>
    </w:p>
    <w:p>
      <w:pPr>
        <w:spacing w:after="200" w:line="276" w:lineRule="auto"/>
      </w:pPr>
      <w:r>
        <w:t>C. Sell medicines — would be appropriate in a different situation, not this one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magnesium sulfate therapy, the nurse monitors for toxicity by checking</w:t>
      </w:r>
    </w:p>
    <w:p>
      <w:pPr>
        <w:spacing w:after="200" w:line="276" w:lineRule="auto"/>
      </w:pPr>
      <w:r>
        <w:t>(a) Respiratory rate, deep tendon reflexes and urine output</w:t>
      </w:r>
    </w:p>
    <w:p>
      <w:pPr>
        <w:spacing w:after="200" w:line="276" w:lineRule="auto"/>
      </w:pPr>
      <w:r>
        <w:t>(b) Only blood pressure</w:t>
      </w:r>
    </w:p>
    <w:p>
      <w:pPr>
        <w:spacing w:after="200" w:line="276" w:lineRule="auto"/>
      </w:pPr>
      <w:r>
        <w:t>(c) Blood glucose</w:t>
      </w:r>
    </w:p>
    <w:p>
      <w:pPr>
        <w:spacing w:after="200" w:line="276" w:lineRule="auto"/>
      </w:pPr>
      <w:r>
        <w:t>(d) Temperature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Respiratory rate, deep tendon reflexes and urine output</w:t>
      </w:r>
    </w:p>
    <w:p>
      <w:pPr>
        <w:spacing w:after="200" w:line="276" w:lineRule="auto"/>
      </w:pPr>
      <w:r>
        <w:t>🧠 Clinical Rationale: Loss of reflexes or respiratory depression signals toxicity — give IV calcium gluconate.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blood pressure — does not match the characteristic feature/management described in the stem</w:t>
      </w:r>
    </w:p>
    <w:p>
      <w:pPr>
        <w:spacing w:after="200" w:line="276" w:lineRule="auto"/>
      </w:pPr>
      <w:r>
        <w:t>C. Blood glucose — does not match the characteristic feature/management described in the stem</w:t>
      </w:r>
    </w:p>
    <w:p>
      <w:pPr>
        <w:spacing w:after="200" w:line="276" w:lineRule="auto"/>
      </w:pPr>
      <w:r>
        <w:t>D. Temperature — does not match the characteristic feature/management described in the stem</w:t>
      </w:r>
    </w:p>
    <w:p>
      <w:pPr>
        <w:spacing w:after="200" w:line="276" w:lineRule="auto"/>
      </w:pPr>
      <w:r>
        <w:t>⚠️ Exam Trap: Eclampsia care: seizure precautions + magnesium sulfate — not sedation with heavy drugs; do not stimulate the patient.</w:t>
      </w:r>
    </w:p>
    <w:p>
      <w:pPr>
        <w:spacing w:after="200" w:line="276" w:lineRule="auto"/>
      </w:pPr>
      <w:r>
        <w:t>💎 PNC Pearl: Eclampsia = preeclampsia + seizures → give magnesium sulfate and maintain a quiet, dark room with padded side rails.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Eclampsia</w:t>
      </w:r>
    </w:p>
    <w:p>
      <w:pPr>
        <w:spacing w:after="200" w:line="276" w:lineRule="auto"/>
      </w:pPr>
      <w:r>
        <w:t>→ Care: quiet/dark room, padded side rails, airway ready, side-lying position</w:t>
      </w:r>
    </w:p>
    <w:p>
      <w:pPr>
        <w:spacing w:after="200" w:line="276" w:lineRule="auto"/>
      </w:pPr>
      <w:r>
        <w:t>→ Drug: Magnesium sulfate IV (antidote: calcium gluconate)</w:t>
      </w:r>
    </w:p>
    <w:p>
      <w:pPr>
        <w:spacing w:after="200" w:line="276" w:lineRule="auto"/>
      </w:pPr>
      <w:r>
        <w:t>→ Monitor: DTRs, respiratory rate, urine output (mag toxicity: absent DTRs, RR &lt; 12, oliguria)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intervention for delirium in a hospitalised elderly patient is</w:t>
      </w:r>
    </w:p>
    <w:p>
      <w:pPr>
        <w:spacing w:after="200" w:line="276" w:lineRule="auto"/>
      </w:pPr>
      <w:r>
        <w:t>(a) Sedative restraint</w:t>
      </w:r>
    </w:p>
    <w:p>
      <w:pPr>
        <w:spacing w:after="200" w:line="276" w:lineRule="auto"/>
      </w:pPr>
      <w:r>
        <w:t>(b) High-dose antipsychotics</w:t>
      </w:r>
    </w:p>
    <w:p>
      <w:pPr>
        <w:spacing w:after="200" w:line="276" w:lineRule="auto"/>
      </w:pPr>
      <w:r>
        <w:t>(c) Reorientation, mobilisation, sleep promotion and sensory aids</w:t>
      </w:r>
    </w:p>
    <w:p>
      <w:pPr>
        <w:spacing w:after="200" w:line="276" w:lineRule="auto"/>
      </w:pPr>
      <w:r>
        <w:t>(d) Isolation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Reorientation, mobilisation, sleep promotion and sensory aids</w:t>
      </w:r>
    </w:p>
    <w:p>
      <w:pPr>
        <w:spacing w:after="200" w:line="276" w:lineRule="auto"/>
      </w:pPr>
      <w:r>
        <w:t>🧠 Clinical Rationale: Non-pharmacological bundles prevent and treat delirium; drugs only for severe agitation.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Sedative restraint — would be appropriate in a different situation, not this one</w:t>
      </w:r>
    </w:p>
    <w:p>
      <w:pPr>
        <w:spacing w:after="200" w:line="276" w:lineRule="auto"/>
      </w:pPr>
      <w:r>
        <w:t>B. High-dose antipsychotics — would be appropriate in a different situation, not this one</w:t>
      </w:r>
    </w:p>
    <w:p>
      <w:pPr>
        <w:spacing w:after="200" w:line="276" w:lineRule="auto"/>
      </w:pPr>
      <w:r>
        <w:t>D. Isolation — would be appropriate in a different situation, not this one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Metformin should be temporarily stopped before</w:t>
      </w:r>
    </w:p>
    <w:p>
      <w:pPr>
        <w:spacing w:after="200" w:line="276" w:lineRule="auto"/>
      </w:pPr>
      <w:r>
        <w:t>(a) Exercise</w:t>
      </w:r>
    </w:p>
    <w:p>
      <w:pPr>
        <w:spacing w:after="200" w:line="276" w:lineRule="auto"/>
      </w:pPr>
      <w:r>
        <w:t>(b) A low-carb meal</w:t>
      </w:r>
    </w:p>
    <w:p>
      <w:pPr>
        <w:spacing w:after="200" w:line="276" w:lineRule="auto"/>
      </w:pPr>
      <w:r>
        <w:t>(c) Sleep</w:t>
      </w:r>
    </w:p>
    <w:p>
      <w:pPr>
        <w:spacing w:after="200" w:line="276" w:lineRule="auto"/>
      </w:pPr>
      <w:r>
        <w:t>(d) Contrast studies and in acute renal impairment (lactic acidosis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Contrast studies and in acute renal impairment (lactic acidosis risk)</w:t>
      </w:r>
    </w:p>
    <w:p>
      <w:pPr>
        <w:spacing w:after="200" w:line="276" w:lineRule="auto"/>
      </w:pPr>
      <w:r>
        <w:t>🧠 Clinical Rationale: Hold around contrast and AKI; restart when renal function is stable.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Exercise — does not match the characteristic feature/management described in the stem</w:t>
      </w:r>
    </w:p>
    <w:p>
      <w:pPr>
        <w:spacing w:after="200" w:line="276" w:lineRule="auto"/>
      </w:pPr>
      <w:r>
        <w:t>B. A low-carb meal — does not match the characteristic feature/management described in the stem</w:t>
      </w:r>
    </w:p>
    <w:p>
      <w:pPr>
        <w:spacing w:after="200" w:line="276" w:lineRule="auto"/>
      </w:pPr>
      <w:r>
        <w:t>C. Sleep — does not match the characteristic feature/management described in the stem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Metformin</w:t>
      </w:r>
    </w:p>
    <w:p>
      <w:pPr>
        <w:spacing w:after="200" w:line="276" w:lineRule="auto"/>
      </w:pPr>
      <w:r>
        <w:t>→ Adverse effect: lactic acidosis, GI upset (take with food)</w:t>
      </w:r>
    </w:p>
    <w:p>
      <w:pPr>
        <w:spacing w:after="200" w:line="276" w:lineRule="auto"/>
      </w:pPr>
      <w:r>
        <w:t>→ Hold: before IV contrast, renal/hepatic disease, hypoxia/sepsis</w:t>
      </w:r>
    </w:p>
    <w:p>
      <w:pPr>
        <w:spacing w:after="200" w:line="276" w:lineRule="auto"/>
      </w:pPr>
      <w:r>
        <w:t>→ Monitor: renal function, B12 with long-term 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Hand hygiene must be performed</w:t>
      </w:r>
    </w:p>
    <w:p>
      <w:pPr>
        <w:spacing w:after="200" w:line="276" w:lineRule="auto"/>
      </w:pPr>
      <w:r>
        <w:t>(a) Only before meals</w:t>
      </w:r>
    </w:p>
    <w:p>
      <w:pPr>
        <w:spacing w:after="200" w:line="276" w:lineRule="auto"/>
      </w:pPr>
      <w:r>
        <w:t>(b) Once per shift</w:t>
      </w:r>
    </w:p>
    <w:p>
      <w:pPr>
        <w:spacing w:after="200" w:line="276" w:lineRule="auto"/>
      </w:pPr>
      <w:r>
        <w:t>(c) Only after procedures</w:t>
      </w:r>
    </w:p>
    <w:p>
      <w:pPr>
        <w:spacing w:after="200" w:line="276" w:lineRule="auto"/>
      </w:pPr>
      <w:r>
        <w:t>(d) Before and after every patient contact and after removing gloves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Before and after every patient contact and after removing gloves</w:t>
      </w:r>
    </w:p>
    <w:p>
      <w:pPr>
        <w:spacing w:after="200" w:line="276" w:lineRule="auto"/>
      </w:pPr>
      <w:r>
        <w:t>🧠 Clinical Rationale: The 5 moments framework covers contact before/after patient and surroundings.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before meals — would be appropriate in a different situation, not this one</w:t>
      </w:r>
    </w:p>
    <w:p>
      <w:pPr>
        <w:spacing w:after="200" w:line="276" w:lineRule="auto"/>
      </w:pPr>
      <w:r>
        <w:t>B. Once per shift — would be appropriate in a different situation, not this one</w:t>
      </w:r>
    </w:p>
    <w:p>
      <w:pPr>
        <w:spacing w:after="200" w:line="276" w:lineRule="auto"/>
      </w:pPr>
      <w:r>
        <w:t>C. Only after procedures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Hand hygiene</w:t>
      </w:r>
    </w:p>
    <w:p>
      <w:pPr>
        <w:spacing w:after="200" w:line="276" w:lineRule="auto"/>
      </w:pPr>
      <w:r>
        <w:t>→ 5 moments: before touching patient, before clean/aseptic procedure, after body-fluid exposure, after touching patient, after touching surroundings</w:t>
      </w:r>
    </w:p>
    <w:p>
      <w:pPr>
        <w:spacing w:after="200" w:line="276" w:lineRule="auto"/>
      </w:pPr>
      <w:r>
        <w:t>→ Alcohol rub: when hands are not visibly soiled</w:t>
      </w:r>
    </w:p>
    <w:p>
      <w:pPr>
        <w:spacing w:after="200" w:line="276" w:lineRule="auto"/>
      </w:pPr>
      <w:r>
        <w:t>→ Soap and water: visibly dirty, C. difficile, norovirus</w:t>
      </w:r>
    </w:p>
    <w:p>
      <w:pPr>
        <w:spacing w:after="200" w:line="276" w:lineRule="auto"/>
      </w:pPr>
      <w:r>
        <w:t>→ Keep nails short; remove rings and jewellery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common side effect of oral iron that patients should expect is</w:t>
      </w:r>
    </w:p>
    <w:p>
      <w:pPr>
        <w:spacing w:after="200" w:line="276" w:lineRule="auto"/>
      </w:pPr>
      <w:r>
        <w:t>(a) Diarrhoea only</w:t>
      </w:r>
    </w:p>
    <w:p>
      <w:pPr>
        <w:spacing w:after="200" w:line="276" w:lineRule="auto"/>
      </w:pPr>
      <w:r>
        <w:t>(b) Yellow urine</w:t>
      </w:r>
    </w:p>
    <w:p>
      <w:pPr>
        <w:spacing w:after="200" w:line="276" w:lineRule="auto"/>
      </w:pPr>
      <w:r>
        <w:t>(c) Dark stools and constipation</w:t>
      </w:r>
    </w:p>
    <w:p>
      <w:pPr>
        <w:spacing w:after="200" w:line="276" w:lineRule="auto"/>
      </w:pPr>
      <w:r>
        <w:t>(d) Palpitations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Dark stools and constipation</w:t>
      </w:r>
    </w:p>
    <w:p>
      <w:pPr>
        <w:spacing w:after="200" w:line="276" w:lineRule="auto"/>
      </w:pPr>
      <w:r>
        <w:t>🧠 Clinical Rationale: Iron causes dark stools and constipation — reassure and advise fibre/fluids.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Diarrhoea only — would be appropriate in a different situation, not this one</w:t>
      </w:r>
    </w:p>
    <w:p>
      <w:pPr>
        <w:spacing w:after="200" w:line="276" w:lineRule="auto"/>
      </w:pPr>
      <w:r>
        <w:t>B. Yellow urine — would be appropriate in a different situation, not this one</w:t>
      </w:r>
    </w:p>
    <w:p>
      <w:pPr>
        <w:spacing w:after="200" w:line="276" w:lineRule="auto"/>
      </w:pPr>
      <w:r>
        <w:t>D. Palpitations — would be appropriate in a different situation, not this one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Rashtriya Bal Swasthya Karyakram (RBSK) screens children for</w:t>
      </w:r>
    </w:p>
    <w:p>
      <w:pPr>
        <w:spacing w:after="200" w:line="276" w:lineRule="auto"/>
      </w:pPr>
      <w:r>
        <w:t>(a) Birth defects, deficiencies, diseases and developmental delays (4Ds)</w:t>
      </w:r>
    </w:p>
    <w:p>
      <w:pPr>
        <w:spacing w:after="200" w:line="276" w:lineRule="auto"/>
      </w:pPr>
      <w:r>
        <w:t>(b) Only eye problems</w:t>
      </w:r>
    </w:p>
    <w:p>
      <w:pPr>
        <w:spacing w:after="200" w:line="276" w:lineRule="auto"/>
      </w:pPr>
      <w:r>
        <w:t>(c) Only dental issues</w:t>
      </w:r>
    </w:p>
    <w:p>
      <w:pPr>
        <w:spacing w:after="200" w:line="276" w:lineRule="auto"/>
      </w:pPr>
      <w:r>
        <w:t>(d) Only obesity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Birth defects, deficiencies, diseases and developmental delays (4Ds)</w:t>
      </w:r>
    </w:p>
    <w:p>
      <w:pPr>
        <w:spacing w:after="200" w:line="276" w:lineRule="auto"/>
      </w:pPr>
      <w:r>
        <w:t>🧠 Clinical Rationale: RBSK (4Ds) provides early detection and referral for 0-18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eye problems — plausible, but not the single most accurate fact asked</w:t>
      </w:r>
    </w:p>
    <w:p>
      <w:pPr>
        <w:spacing w:after="200" w:line="276" w:lineRule="auto"/>
      </w:pPr>
      <w:r>
        <w:t>C. Only dental issues — plausible, but not the single most accurate fact asked</w:t>
      </w:r>
    </w:p>
    <w:p>
      <w:pPr>
        <w:spacing w:after="200" w:line="276" w:lineRule="auto"/>
      </w:pPr>
      <w:r>
        <w:t>D. Only obesity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manage wandering in a dementia patient, the nurse should</w:t>
      </w:r>
    </w:p>
    <w:p>
      <w:pPr>
        <w:spacing w:after="200" w:line="276" w:lineRule="auto"/>
      </w:pPr>
      <w:r>
        <w:t>(a) Lock the patient in the room</w:t>
      </w:r>
    </w:p>
    <w:p>
      <w:pPr>
        <w:spacing w:after="200" w:line="276" w:lineRule="auto"/>
      </w:pPr>
      <w:r>
        <w:t>(b) Use restraints routinely</w:t>
      </w:r>
    </w:p>
    <w:p>
      <w:pPr>
        <w:spacing w:after="200" w:line="276" w:lineRule="auto"/>
      </w:pPr>
      <w:r>
        <w:t>(c) Ignore it</w:t>
      </w:r>
    </w:p>
    <w:p>
      <w:pPr>
        <w:spacing w:after="200" w:line="276" w:lineRule="auto"/>
      </w:pPr>
      <w:r>
        <w:t>(d) Provide a safe environment with supervised activity and identification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Provide a safe environment with supervised activity and identification</w:t>
      </w:r>
    </w:p>
    <w:p>
      <w:pPr>
        <w:spacing w:after="200" w:line="276" w:lineRule="auto"/>
      </w:pPr>
      <w:r>
        <w:t>🧠 Clinical Rationale: Safe wandering spaces, engagement and ID tags prevent injury and elopement.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Lock the patient in the room — would be appropriate in a different situation, not this one</w:t>
      </w:r>
    </w:p>
    <w:p>
      <w:pPr>
        <w:spacing w:after="200" w:line="276" w:lineRule="auto"/>
      </w:pPr>
      <w:r>
        <w:t>B. Use restraints routinely — would be appropriate in a different situation, not this one</w:t>
      </w:r>
    </w:p>
    <w:p>
      <w:pPr>
        <w:spacing w:after="200" w:line="276" w:lineRule="auto"/>
      </w:pPr>
      <w:r>
        <w:t>C. Ignore it — would be appropriate in a different situation, not this one</w:t>
      </w:r>
    </w:p>
    <w:p>
      <w:pPr>
        <w:spacing w:after="200" w:line="276" w:lineRule="auto"/>
      </w:pPr>
      <w:r>
        <w:t>⚠️ Exam Trap: With confused patients: redirect and validate — arguing about facts increases agitation. Sundowning worsens in the evening.</w:t>
      </w:r>
    </w:p>
    <w:p>
      <w:pPr>
        <w:spacing w:after="200" w:line="276" w:lineRule="auto"/>
      </w:pPr>
      <w:r>
        <w:t>💎 PNC Pearl: In dementia, validate feelings rather than argue, maintain routines, and keep the environment safe — never confront or correct forcefully.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Dementia (Alzheimer's)</w:t>
      </w:r>
    </w:p>
    <w:p>
      <w:pPr>
        <w:spacing w:after="200" w:line="276" w:lineRule="auto"/>
      </w:pPr>
      <w:r>
        <w:t>→ Progressive memory loss, language and judgement decline</w:t>
      </w:r>
    </w:p>
    <w:p>
      <w:pPr>
        <w:spacing w:after="200" w:line="276" w:lineRule="auto"/>
      </w:pPr>
      <w:r>
        <w:t>→ Care: routine, reality orientation, familiar objects, supervision for safety</w:t>
      </w:r>
    </w:p>
    <w:p>
      <w:pPr>
        <w:spacing w:after="200" w:line="276" w:lineRule="auto"/>
      </w:pPr>
      <w:r>
        <w:t>→ Behaviours: redirect, calm voice, meet unmet needs (pain, hunger, toileting)</w:t>
      </w:r>
    </w:p>
    <w:p>
      <w:pPr>
        <w:spacing w:after="200" w:line="276" w:lineRule="auto"/>
      </w:pPr>
      <w:r>
        <w:t>→ Caregiver support and safety (wandering, driving, cooking) are priorities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CKD patient with hyperkalaemia should avoid</w:t>
      </w:r>
    </w:p>
    <w:p>
      <w:pPr>
        <w:spacing w:after="200" w:line="276" w:lineRule="auto"/>
      </w:pPr>
      <w:r>
        <w:t>(a) Apples</w:t>
      </w:r>
    </w:p>
    <w:p>
      <w:pPr>
        <w:spacing w:after="200" w:line="276" w:lineRule="auto"/>
      </w:pPr>
      <w:r>
        <w:t>(b) Bananas, oranges and potassium-rich vegetables</w:t>
      </w:r>
    </w:p>
    <w:p>
      <w:pPr>
        <w:spacing w:after="200" w:line="276" w:lineRule="auto"/>
      </w:pPr>
      <w:r>
        <w:t>(c) Rice</w:t>
      </w:r>
    </w:p>
    <w:p>
      <w:pPr>
        <w:spacing w:after="200" w:line="276" w:lineRule="auto"/>
      </w:pPr>
      <w:r>
        <w:t>(d) Bread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Bananas, oranges and potassium-rich vegetables</w:t>
      </w:r>
    </w:p>
    <w:p>
      <w:pPr>
        <w:spacing w:after="200" w:line="276" w:lineRule="auto"/>
      </w:pPr>
      <w:r>
        <w:t>🧠 Clinical Rationale: Limit high-potassium foods; teach label reading and cooking techniques.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Apples — would be appropriate in a different situation, not this one</w:t>
      </w:r>
    </w:p>
    <w:p>
      <w:pPr>
        <w:spacing w:after="200" w:line="276" w:lineRule="auto"/>
      </w:pPr>
      <w:r>
        <w:t>C. Rice — would be appropriate in a different situation, not this one</w:t>
      </w:r>
    </w:p>
    <w:p>
      <w:pPr>
        <w:spacing w:after="200" w:line="276" w:lineRule="auto"/>
      </w:pPr>
      <w:r>
        <w:t>D. Bread — would be appropriate in a different situation, not this one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comfortable breastfeeding position that supports the baby's head and body in a straight line is</w:t>
      </w:r>
    </w:p>
    <w:p>
      <w:pPr>
        <w:spacing w:after="200" w:line="276" w:lineRule="auto"/>
      </w:pPr>
      <w:r>
        <w:t>(a) Baby lying flat on its back</w:t>
      </w:r>
    </w:p>
    <w:p>
      <w:pPr>
        <w:spacing w:after="200" w:line="276" w:lineRule="auto"/>
      </w:pPr>
      <w:r>
        <w:t>(b) Cradle or cross-cradle hold</w:t>
      </w:r>
    </w:p>
    <w:p>
      <w:pPr>
        <w:spacing w:after="200" w:line="276" w:lineRule="auto"/>
      </w:pPr>
      <w:r>
        <w:t>(c) Baby at a right angle</w:t>
      </w:r>
    </w:p>
    <w:p>
      <w:pPr>
        <w:spacing w:after="200" w:line="276" w:lineRule="auto"/>
      </w:pPr>
      <w:r>
        <w:t>(d) Standing up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Cradle or cross-cradle hold</w:t>
      </w:r>
    </w:p>
    <w:p>
      <w:pPr>
        <w:spacing w:after="200" w:line="276" w:lineRule="auto"/>
      </w:pPr>
      <w:r>
        <w:t>🧠 Clinical Rationale: Alignment (ear-shoulder-hip in a line) prevents nipple trauma and improves latch.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Baby lying flat on its back — would be appropriate in a different situation, not this one</w:t>
      </w:r>
    </w:p>
    <w:p>
      <w:pPr>
        <w:spacing w:after="200" w:line="276" w:lineRule="auto"/>
      </w:pPr>
      <w:r>
        <w:t>C. Baby at a right angle — would be appropriate in a different situation, not this one</w:t>
      </w:r>
    </w:p>
    <w:p>
      <w:pPr>
        <w:spacing w:after="200" w:line="276" w:lineRule="auto"/>
      </w:pPr>
      <w:r>
        <w:t>D. Standing up — would be appropriate in a different situation, not this one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Zinc given with ORS during diarrhoea</w:t>
      </w:r>
    </w:p>
    <w:p>
      <w:pPr>
        <w:spacing w:after="200" w:line="276" w:lineRule="auto"/>
      </w:pPr>
      <w:r>
        <w:t>(a) Reduces duration and severity of the episode</w:t>
      </w:r>
    </w:p>
    <w:p>
      <w:pPr>
        <w:spacing w:after="200" w:line="276" w:lineRule="auto"/>
      </w:pPr>
      <w:r>
        <w:t>(b) Replaces fluids</w:t>
      </w:r>
    </w:p>
    <w:p>
      <w:pPr>
        <w:spacing w:after="200" w:line="276" w:lineRule="auto"/>
      </w:pPr>
      <w:r>
        <w:t>(c) Stops vomiting</w:t>
      </w:r>
    </w:p>
    <w:p>
      <w:pPr>
        <w:spacing w:after="200" w:line="276" w:lineRule="auto"/>
      </w:pPr>
      <w:r>
        <w:t>(d) Acts as an antibiotic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Reduces duration and severity of the episode</w:t>
      </w:r>
    </w:p>
    <w:p>
      <w:pPr>
        <w:spacing w:after="200" w:line="276" w:lineRule="auto"/>
      </w:pPr>
      <w:r>
        <w:t>🧠 Clinical Rationale: Zinc (10-14 days) shortens diarrhoea and prevents future episodes.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Replaces fluids — would be appropriate in a different situation, not this one</w:t>
      </w:r>
    </w:p>
    <w:p>
      <w:pPr>
        <w:spacing w:after="200" w:line="276" w:lineRule="auto"/>
      </w:pPr>
      <w:r>
        <w:t>C. Stops vomiting — would be appropriate in a different situation, not this one</w:t>
      </w:r>
    </w:p>
    <w:p>
      <w:pPr>
        <w:spacing w:after="200" w:line="276" w:lineRule="auto"/>
      </w:pPr>
      <w:r>
        <w:t>D. Acts as an antibiotic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an acute RA flare, the nurse advises</w:t>
      </w:r>
    </w:p>
    <w:p>
      <w:pPr>
        <w:spacing w:after="200" w:line="276" w:lineRule="auto"/>
      </w:pPr>
      <w:r>
        <w:t>(a) Rest the joints with splints and apply heat/cold as preferred</w:t>
      </w:r>
    </w:p>
    <w:p>
      <w:pPr>
        <w:spacing w:after="200" w:line="276" w:lineRule="auto"/>
      </w:pPr>
      <w:r>
        <w:t>(b) Aggressive exercise</w:t>
      </w:r>
    </w:p>
    <w:p>
      <w:pPr>
        <w:spacing w:after="200" w:line="276" w:lineRule="auto"/>
      </w:pPr>
      <w:r>
        <w:t>(c) Massage the inflamed joints</w:t>
      </w:r>
    </w:p>
    <w:p>
      <w:pPr>
        <w:spacing w:after="200" w:line="276" w:lineRule="auto"/>
      </w:pPr>
      <w:r>
        <w:t>(d) No pain relief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Rest the joints with splints and apply heat/cold as preferred</w:t>
      </w:r>
    </w:p>
    <w:p>
      <w:pPr>
        <w:spacing w:after="200" w:line="276" w:lineRule="auto"/>
      </w:pPr>
      <w:r>
        <w:t>🧠 Clinical Rationale: Balance rest during flares with gentle range-of-motion and medication adherence.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Aggressive exercise — would be appropriate in a different situation, not this one</w:t>
      </w:r>
    </w:p>
    <w:p>
      <w:pPr>
        <w:spacing w:after="200" w:line="276" w:lineRule="auto"/>
      </w:pPr>
      <w:r>
        <w:t>C. Massage the inflamed joints — would be appropriate in a different situation, not this one</w:t>
      </w:r>
    </w:p>
    <w:p>
      <w:pPr>
        <w:spacing w:after="200" w:line="276" w:lineRule="auto"/>
      </w:pPr>
      <w:r>
        <w:t>D. No pain relief — would be appropriate in a different situation, not this one</w:t>
      </w:r>
    </w:p>
    <w:p>
      <w:pPr>
        <w:spacing w:after="200" w:line="276" w:lineRule="auto"/>
      </w:pPr>
      <w:r>
        <w:t>⚠️ Exam Trap: RA = symmetrical + morning stiffness + systemic; osteoarthritis = asymmetric weight-bearing joints, worse with activity — the contrast is classic.</w:t>
      </w:r>
    </w:p>
    <w:p>
      <w:pPr>
        <w:spacing w:after="200" w:line="276" w:lineRule="auto"/>
      </w:pPr>
      <w:r>
        <w:t>💎 PNC Pearl: Rheumatoid arthritis: symmetric small-joint pain/stiffness worse in the morning — disease-modifying drugs (methotrexate) slow joint damage.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Effective discharge medication teaching includes</w:t>
      </w:r>
    </w:p>
    <w:p>
      <w:pPr>
        <w:spacing w:after="200" w:line="276" w:lineRule="auto"/>
      </w:pPr>
      <w:r>
        <w:t>(a) Only the dose</w:t>
      </w:r>
    </w:p>
    <w:p>
      <w:pPr>
        <w:spacing w:after="200" w:line="276" w:lineRule="auto"/>
      </w:pPr>
      <w:r>
        <w:t>(b) Name, dose, schedule, purpose and side effects of each drug (teach-back)</w:t>
      </w:r>
    </w:p>
    <w:p>
      <w:pPr>
        <w:spacing w:after="200" w:line="276" w:lineRule="auto"/>
      </w:pPr>
      <w:r>
        <w:t>(c) A list without explanation</w:t>
      </w:r>
    </w:p>
    <w:p>
      <w:pPr>
        <w:spacing w:after="200" w:line="276" w:lineRule="auto"/>
      </w:pPr>
      <w:r>
        <w:t>(d) Just a prescription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Name, dose, schedule, purpose and side effects of each drug (teach-back)</w:t>
      </w:r>
    </w:p>
    <w:p>
      <w:pPr>
        <w:spacing w:after="200" w:line="276" w:lineRule="auto"/>
      </w:pPr>
      <w:r>
        <w:t>🧠 Clinical Rationale: Teach-back confirms understanding and prevents medication errors after discharge.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dose — would be appropriate in a different situation, not this one</w:t>
      </w:r>
    </w:p>
    <w:p>
      <w:pPr>
        <w:spacing w:after="200" w:line="276" w:lineRule="auto"/>
      </w:pPr>
      <w:r>
        <w:t>C. A list without explanation — would be appropriate in a different situation, not this one</w:t>
      </w:r>
    </w:p>
    <w:p>
      <w:pPr>
        <w:spacing w:after="200" w:line="276" w:lineRule="auto"/>
      </w:pPr>
      <w:r>
        <w:t>D. Just a prescription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Incidence measures</w:t>
      </w:r>
    </w:p>
    <w:p>
      <w:pPr>
        <w:spacing w:after="200" w:line="276" w:lineRule="auto"/>
      </w:pPr>
      <w:r>
        <w:t>(a) All existing cases</w:t>
      </w:r>
    </w:p>
    <w:p>
      <w:pPr>
        <w:spacing w:after="200" w:line="276" w:lineRule="auto"/>
      </w:pPr>
      <w:r>
        <w:t>(b) Only deaths</w:t>
      </w:r>
    </w:p>
    <w:p>
      <w:pPr>
        <w:spacing w:after="200" w:line="276" w:lineRule="auto"/>
      </w:pPr>
      <w:r>
        <w:t>(c) Total population</w:t>
      </w:r>
    </w:p>
    <w:p>
      <w:pPr>
        <w:spacing w:after="200" w:line="276" w:lineRule="auto"/>
      </w:pPr>
      <w:r>
        <w:t>(d) New cases occurring in a specified period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New cases occurring in a specified period</w:t>
      </w:r>
    </w:p>
    <w:p>
      <w:pPr>
        <w:spacing w:after="200" w:line="276" w:lineRule="auto"/>
      </w:pPr>
      <w:r>
        <w:t>🧠 Clinical Rationale: Incidence = new events; prevalence = existing cases at a point in time.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existing cases — plausible, but not the single most accurate fact asked</w:t>
      </w:r>
    </w:p>
    <w:p>
      <w:pPr>
        <w:spacing w:after="200" w:line="276" w:lineRule="auto"/>
      </w:pPr>
      <w:r>
        <w:t>B. Only deaths — plausible, but not the single most accurate fact asked</w:t>
      </w:r>
    </w:p>
    <w:p>
      <w:pPr>
        <w:spacing w:after="200" w:line="276" w:lineRule="auto"/>
      </w:pPr>
      <w:r>
        <w:t>C. Total population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postmenopausal woman can reduce osteoporosis risk by</w:t>
      </w:r>
    </w:p>
    <w:p>
      <w:pPr>
        <w:spacing w:after="200" w:line="276" w:lineRule="auto"/>
      </w:pPr>
      <w:r>
        <w:t>(a) Bed rest</w:t>
      </w:r>
    </w:p>
    <w:p>
      <w:pPr>
        <w:spacing w:after="200" w:line="276" w:lineRule="auto"/>
      </w:pPr>
      <w:r>
        <w:t>(b) High-protein shakes only</w:t>
      </w:r>
    </w:p>
    <w:p>
      <w:pPr>
        <w:spacing w:after="200" w:line="276" w:lineRule="auto"/>
      </w:pPr>
      <w:r>
        <w:t>(c) Weight-bearing exercise, calcium and vitamin D, and fall prevention</w:t>
      </w:r>
    </w:p>
    <w:p>
      <w:pPr>
        <w:spacing w:after="200" w:line="276" w:lineRule="auto"/>
      </w:pPr>
      <w:r>
        <w:t>(d) Avoiding sunlight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Weight-bearing exercise, calcium and vitamin D, and fall prevention</w:t>
      </w:r>
    </w:p>
    <w:p>
      <w:pPr>
        <w:spacing w:after="200" w:line="276" w:lineRule="auto"/>
      </w:pPr>
      <w:r>
        <w:t>🧠 Clinical Rationale: Lifestyle + supplementation + screening (DXA) reduce fracture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Bed rest — would be appropriate in a different situation, not this one</w:t>
      </w:r>
    </w:p>
    <w:p>
      <w:pPr>
        <w:spacing w:after="200" w:line="276" w:lineRule="auto"/>
      </w:pPr>
      <w:r>
        <w:t>B. High-protein shakes only — would be appropriate in a different situation, not this one</w:t>
      </w:r>
    </w:p>
    <w:p>
      <w:pPr>
        <w:spacing w:after="200" w:line="276" w:lineRule="auto"/>
      </w:pPr>
      <w:r>
        <w:t>D. Avoiding sunlight — would be appropriate in a different situation, not this one</w:t>
      </w:r>
    </w:p>
    <w:p>
      <w:pPr>
        <w:spacing w:after="200" w:line="276" w:lineRule="auto"/>
      </w:pPr>
      <w:r>
        <w:t>⚠️ Exam Trap: Osteoporosis is silent until fracture — prevention (calcium, vitamin D, exercise) and fall prevention are the nursing priorities.</w:t>
      </w:r>
    </w:p>
    <w:p>
      <w:pPr>
        <w:spacing w:after="200" w:line="276" w:lineRule="auto"/>
      </w:pPr>
      <w:r>
        <w:t>💎 PNC Pearl: Osteoporosis prevention: calcium + vitamin D, weight-bearing exercise and fall prevention — screening with DEXA from 65 years.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Emergency contraception (ECP) is most effective when taken</w:t>
      </w:r>
    </w:p>
    <w:p>
      <w:pPr>
        <w:spacing w:after="200" w:line="276" w:lineRule="auto"/>
      </w:pPr>
      <w:r>
        <w:t>(a) Within 72 hours of unprotected intercourse</w:t>
      </w:r>
    </w:p>
    <w:p>
      <w:pPr>
        <w:spacing w:after="200" w:line="276" w:lineRule="auto"/>
      </w:pPr>
      <w:r>
        <w:t>(b) Within a week</w:t>
      </w:r>
    </w:p>
    <w:p>
      <w:pPr>
        <w:spacing w:after="200" w:line="276" w:lineRule="auto"/>
      </w:pPr>
      <w:r>
        <w:t>(c) After the next period</w:t>
      </w:r>
    </w:p>
    <w:p>
      <w:pPr>
        <w:spacing w:after="200" w:line="276" w:lineRule="auto"/>
      </w:pPr>
      <w:r>
        <w:t>(d) Anytime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Within 72 hours of unprotected intercourse</w:t>
      </w:r>
    </w:p>
    <w:p>
      <w:pPr>
        <w:spacing w:after="200" w:line="276" w:lineRule="auto"/>
      </w:pPr>
      <w:r>
        <w:t>🧠 Clinical Rationale: Levonorgestrel ECP works best within 72 h; copper IUD up to 5 days is most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Within a week — plausible, but not the single most accurate fact asked</w:t>
      </w:r>
    </w:p>
    <w:p>
      <w:pPr>
        <w:spacing w:after="200" w:line="276" w:lineRule="auto"/>
      </w:pPr>
      <w:r>
        <w:t>C. After the next period — plausible, but not the single most accurate fact asked</w:t>
      </w:r>
    </w:p>
    <w:p>
      <w:pPr>
        <w:spacing w:after="200" w:line="276" w:lineRule="auto"/>
      </w:pPr>
      <w:r>
        <w:t>D. Anytime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compensatory sign of hypovolaemic shock is</w:t>
      </w:r>
    </w:p>
    <w:p>
      <w:pPr>
        <w:spacing w:after="200" w:line="276" w:lineRule="auto"/>
      </w:pPr>
      <w:r>
        <w:t>(a) Hypotension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Tachycardia and cool peripheries with normal BP</w:t>
      </w:r>
    </w:p>
    <w:p>
      <w:pPr>
        <w:spacing w:after="200" w:line="276" w:lineRule="auto"/>
      </w:pPr>
      <w:r>
        <w:t>(d) Warm flushed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Tachycardia and cool peripheries with normal BP</w:t>
      </w:r>
    </w:p>
    <w:p>
      <w:pPr>
        <w:spacing w:after="200" w:line="276" w:lineRule="auto"/>
      </w:pPr>
      <w:r>
        <w:t>🧠 Clinical Rationale: Tachycardia and vasoconstriction precede hypotension — detect shock before BP falls.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Hypotension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D. Warm flushed skin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ECT, the nurse should</w:t>
      </w:r>
    </w:p>
    <w:p>
      <w:pPr>
        <w:spacing w:after="200" w:line="276" w:lineRule="auto"/>
      </w:pPr>
      <w:r>
        <w:t>(a) Discharge immediately</w:t>
      </w:r>
    </w:p>
    <w:p>
      <w:pPr>
        <w:spacing w:after="200" w:line="276" w:lineRule="auto"/>
      </w:pPr>
      <w:r>
        <w:t>(b) Monitor vitals and orientation, and orient the patient on waking</w:t>
      </w:r>
    </w:p>
    <w:p>
      <w:pPr>
        <w:spacing w:after="200" w:line="276" w:lineRule="auto"/>
      </w:pPr>
      <w:r>
        <w:t>(c) Give oral fluids at once</w:t>
      </w:r>
    </w:p>
    <w:p>
      <w:pPr>
        <w:spacing w:after="200" w:line="276" w:lineRule="auto"/>
      </w:pPr>
      <w:r>
        <w:t>(d) Leave unsupervised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Monitor vitals and orientation, and orient the patient on waking</w:t>
      </w:r>
    </w:p>
    <w:p>
      <w:pPr>
        <w:spacing w:after="200" w:line="276" w:lineRule="auto"/>
      </w:pPr>
      <w:r>
        <w:t>🧠 Clinical Rationale: Recovery: monitor, reorient, observe for confusion and side effects.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Discharge immediately — would be appropriate in a different situation, not this one</w:t>
      </w:r>
    </w:p>
    <w:p>
      <w:pPr>
        <w:spacing w:after="200" w:line="276" w:lineRule="auto"/>
      </w:pPr>
      <w:r>
        <w:t>C. Give oral fluids at once — would be appropriate in a different situation, not this one</w:t>
      </w:r>
    </w:p>
    <w:p>
      <w:pPr>
        <w:spacing w:after="200" w:line="276" w:lineRule="auto"/>
      </w:pPr>
      <w:r>
        <w:t>D. Leave unsupervised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