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with obstructive jaundice will most likely have</w:t>
      </w:r>
    </w:p>
    <w:p>
      <w:pPr>
        <w:spacing w:after="200" w:line="276" w:lineRule="auto"/>
      </w:pPr>
      <w:r>
        <w:t>(a) Bright red urine</w:t>
      </w:r>
    </w:p>
    <w:p>
      <w:pPr>
        <w:spacing w:after="200" w:line="276" w:lineRule="auto"/>
      </w:pPr>
      <w:r>
        <w:t>(b) Dark urine, pale stools and pruritus</w:t>
      </w:r>
    </w:p>
    <w:p>
      <w:pPr>
        <w:spacing w:after="200" w:line="276" w:lineRule="auto"/>
      </w:pPr>
      <w:r>
        <w:t>(c) Normal stool colour</w:t>
      </w:r>
    </w:p>
    <w:p>
      <w:pPr>
        <w:spacing w:after="200" w:line="276" w:lineRule="auto"/>
      </w:pPr>
      <w:r>
        <w:t>(d) No itching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Dark urine, pale stools and pruritus</w:t>
      </w:r>
    </w:p>
    <w:p>
      <w:pPr>
        <w:spacing w:after="200" w:line="276" w:lineRule="auto"/>
      </w:pPr>
      <w:r>
        <w:t>🧠 Clinical Rationale: Conjugated hyperbilirubinaemia from obstruction → dark urine, pale stools, itching.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Bright red urine — does not match the characteristic feature/management described in the stem</w:t>
      </w:r>
    </w:p>
    <w:p>
      <w:pPr>
        <w:spacing w:after="200" w:line="276" w:lineRule="auto"/>
      </w:pPr>
      <w:r>
        <w:t>C. Normal stool colour — does not match the characteristic feature/management described in the stem</w:t>
      </w:r>
    </w:p>
    <w:p>
      <w:pPr>
        <w:spacing w:after="200" w:line="276" w:lineRule="auto"/>
      </w:pPr>
      <w:r>
        <w:t>D. No itching — does not match the characteristic feature/management described in the stem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IFA tablets are given during pregnancy to prevent</w:t>
      </w:r>
    </w:p>
    <w:p>
      <w:pPr>
        <w:spacing w:after="200" w:line="276" w:lineRule="auto"/>
      </w:pPr>
      <w:r>
        <w:t>(a) Anaemia and improve fetal outcomes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Diabetes</w:t>
      </w:r>
    </w:p>
    <w:p>
      <w:pPr>
        <w:spacing w:after="200" w:line="276" w:lineRule="auto"/>
      </w:pPr>
      <w:r>
        <w:t>(d) Infections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Anaemia and improve fetal outcomes</w:t>
      </w:r>
    </w:p>
    <w:p>
      <w:pPr>
        <w:spacing w:after="200" w:line="276" w:lineRule="auto"/>
      </w:pPr>
      <w:r>
        <w:t>🧠 Clinical Rationale: Iron-folic acid prevents anaemia; folic acid also prevents neural tube defects.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Hypertension — would be appropriate in a different situation, not this one</w:t>
      </w:r>
    </w:p>
    <w:p>
      <w:pPr>
        <w:spacing w:after="200" w:line="276" w:lineRule="auto"/>
      </w:pPr>
      <w:r>
        <w:t>C. Diabetes — would be appropriate in a different situation, not this one</w:t>
      </w:r>
    </w:p>
    <w:p>
      <w:pPr>
        <w:spacing w:after="200" w:line="276" w:lineRule="auto"/>
      </w:pPr>
      <w:r>
        <w:t>D. Infections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reduce injection pain in children, the nurse can</w:t>
      </w:r>
    </w:p>
    <w:p>
      <w:pPr>
        <w:spacing w:after="200" w:line="276" w:lineRule="auto"/>
      </w:pPr>
      <w:r>
        <w:t>(a) Hold the child down firmly</w:t>
      </w:r>
    </w:p>
    <w:p>
      <w:pPr>
        <w:spacing w:after="200" w:line="276" w:lineRule="auto"/>
      </w:pPr>
      <w:r>
        <w:t>(b) Use distraction, topical anaesthetic and a calm approach</w:t>
      </w:r>
    </w:p>
    <w:p>
      <w:pPr>
        <w:spacing w:after="200" w:line="276" w:lineRule="auto"/>
      </w:pPr>
      <w:r>
        <w:t>(c) Inject quickly without explanation</w:t>
      </w:r>
    </w:p>
    <w:p>
      <w:pPr>
        <w:spacing w:after="200" w:line="276" w:lineRule="auto"/>
      </w:pPr>
      <w:r>
        <w:t>(d) Give the injection during sleep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Use distraction, topical anaesthetic and a calm approach</w:t>
      </w:r>
    </w:p>
    <w:p>
      <w:pPr>
        <w:spacing w:after="200" w:line="276" w:lineRule="auto"/>
      </w:pPr>
      <w:r>
        <w:t>🧠 Clinical Rationale: Comfort measures and positioning reduce pain and distress during vaccination.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Hold the child down firmly — would be appropriate in a different situation, not this one</w:t>
      </w:r>
    </w:p>
    <w:p>
      <w:pPr>
        <w:spacing w:after="200" w:line="276" w:lineRule="auto"/>
      </w:pPr>
      <w:r>
        <w:t>C. Inject quickly without explanation — would be appropriate in a different situation, not this one</w:t>
      </w:r>
    </w:p>
    <w:p>
      <w:pPr>
        <w:spacing w:after="200" w:line="276" w:lineRule="auto"/>
      </w:pPr>
      <w:r>
        <w:t>D. Give the injection during sleep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gastritis should avoid</w:t>
      </w:r>
    </w:p>
    <w:p>
      <w:pPr>
        <w:spacing w:after="200" w:line="276" w:lineRule="auto"/>
      </w:pPr>
      <w:r>
        <w:t>(a) Boiled rice</w:t>
      </w:r>
    </w:p>
    <w:p>
      <w:pPr>
        <w:spacing w:after="200" w:line="276" w:lineRule="auto"/>
      </w:pPr>
      <w:r>
        <w:t>(b) Small frequent meals</w:t>
      </w:r>
    </w:p>
    <w:p>
      <w:pPr>
        <w:spacing w:after="200" w:line="276" w:lineRule="auto"/>
      </w:pPr>
      <w:r>
        <w:t>(c) NSAIDs, alcohol and smoking</w:t>
      </w:r>
    </w:p>
    <w:p>
      <w:pPr>
        <w:spacing w:after="200" w:line="276" w:lineRule="auto"/>
      </w:pPr>
      <w:r>
        <w:t>(d) Plain water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NSAIDs, alcohol and smoking</w:t>
      </w:r>
    </w:p>
    <w:p>
      <w:pPr>
        <w:spacing w:after="200" w:line="276" w:lineRule="auto"/>
      </w:pPr>
      <w:r>
        <w:t>🧠 Clinical Rationale: Irritants (NSAIDs, alcohol, smoking) worsen mucosal injury — avoid and treat H. pylori.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Boiled rice — would be appropriate in a different situation, not this one</w:t>
      </w:r>
    </w:p>
    <w:p>
      <w:pPr>
        <w:spacing w:after="200" w:line="276" w:lineRule="auto"/>
      </w:pPr>
      <w:r>
        <w:t>B. Small frequent meals — would be appropriate in a different situation, not this one</w:t>
      </w:r>
    </w:p>
    <w:p>
      <w:pPr>
        <w:spacing w:after="200" w:line="276" w:lineRule="auto"/>
      </w:pPr>
      <w:r>
        <w:t>D. Plain water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Daily weight measurement is the most reliable indicator of</w:t>
      </w:r>
    </w:p>
    <w:p>
      <w:pPr>
        <w:spacing w:after="200" w:line="276" w:lineRule="auto"/>
      </w:pPr>
      <w:r>
        <w:t>(a) Fluid gain or loss</w:t>
      </w:r>
    </w:p>
    <w:p>
      <w:pPr>
        <w:spacing w:after="200" w:line="276" w:lineRule="auto"/>
      </w:pPr>
      <w:r>
        <w:t>(b) Muscle mass</w:t>
      </w:r>
    </w:p>
    <w:p>
      <w:pPr>
        <w:spacing w:after="200" w:line="276" w:lineRule="auto"/>
      </w:pPr>
      <w:r>
        <w:t>(c) Bone density</w:t>
      </w:r>
    </w:p>
    <w:p>
      <w:pPr>
        <w:spacing w:after="200" w:line="276" w:lineRule="auto"/>
      </w:pPr>
      <w:r>
        <w:t>(d) Nutrition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Fluid gain or loss</w:t>
      </w:r>
    </w:p>
    <w:p>
      <w:pPr>
        <w:spacing w:after="200" w:line="276" w:lineRule="auto"/>
      </w:pPr>
      <w:r>
        <w:t>🧠 Clinical Rationale: 1 L of fluid ≈ 1 kg — daily weights track fluid balance accurately.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Muscle mass — would be appropriate in a different situation, not this one</w:t>
      </w:r>
    </w:p>
    <w:p>
      <w:pPr>
        <w:spacing w:after="200" w:line="276" w:lineRule="auto"/>
      </w:pPr>
      <w:r>
        <w:t>C. Bone density — would be appropriate in a different situation, not this one</w:t>
      </w:r>
    </w:p>
    <w:p>
      <w:pPr>
        <w:spacing w:after="200" w:line="276" w:lineRule="auto"/>
      </w:pPr>
      <w:r>
        <w:t>D. Nutrition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mainstay of cholera treatment is</w:t>
      </w:r>
    </w:p>
    <w:p>
      <w:pPr>
        <w:spacing w:after="200" w:line="276" w:lineRule="auto"/>
      </w:pPr>
      <w:r>
        <w:t>(a) Antibiotics alone</w:t>
      </w:r>
    </w:p>
    <w:p>
      <w:pPr>
        <w:spacing w:after="200" w:line="276" w:lineRule="auto"/>
      </w:pPr>
      <w:r>
        <w:t>(b) Antidiarrhoeals</w:t>
      </w:r>
    </w:p>
    <w:p>
      <w:pPr>
        <w:spacing w:after="200" w:line="276" w:lineRule="auto"/>
      </w:pPr>
      <w:r>
        <w:t>(c) Rapid fluid and electrolyte replacement (ORS/IV)</w:t>
      </w:r>
    </w:p>
    <w:p>
      <w:pPr>
        <w:spacing w:after="200" w:line="276" w:lineRule="auto"/>
      </w:pPr>
      <w:r>
        <w:t>(d) Fasting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Rapid fluid and electrolyte replacement (ORS/IV)</w:t>
      </w:r>
    </w:p>
    <w:p>
      <w:pPr>
        <w:spacing w:after="200" w:line="276" w:lineRule="auto"/>
      </w:pPr>
      <w:r>
        <w:t>🧠 Clinical Rationale: Rehydration saves lives; antibiotics are adjunctive; ORS is the cornerstone.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alone — would be appropriate in a different situation, not this one</w:t>
      </w:r>
    </w:p>
    <w:p>
      <w:pPr>
        <w:spacing w:after="200" w:line="276" w:lineRule="auto"/>
      </w:pPr>
      <w:r>
        <w:t>B. Antidiarrhoeals — would be appropriate in a different situation, not this one</w:t>
      </w:r>
    </w:p>
    <w:p>
      <w:pPr>
        <w:spacing w:after="200" w:line="276" w:lineRule="auto"/>
      </w:pPr>
      <w:r>
        <w:t>D. Fasting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diabetic patient is taught to inspect feet daily because</w:t>
      </w:r>
    </w:p>
    <w:p>
      <w:pPr>
        <w:spacing w:after="200" w:line="276" w:lineRule="auto"/>
      </w:pPr>
      <w:r>
        <w:t>(a) Neuropathy can hide injuries that lead to ulcers and amputation</w:t>
      </w:r>
    </w:p>
    <w:p>
      <w:pPr>
        <w:spacing w:after="200" w:line="276" w:lineRule="auto"/>
      </w:pPr>
      <w:r>
        <w:t>(b) It prevents hyperglycaemia</w:t>
      </w:r>
    </w:p>
    <w:p>
      <w:pPr>
        <w:spacing w:after="200" w:line="276" w:lineRule="auto"/>
      </w:pPr>
      <w:r>
        <w:t>(c) It improves vision</w:t>
      </w:r>
    </w:p>
    <w:p>
      <w:pPr>
        <w:spacing w:after="200" w:line="276" w:lineRule="auto"/>
      </w:pPr>
      <w:r>
        <w:t>(d) It is a routine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Neuropathy can hide injuries that lead to ulcers and amputation</w:t>
      </w:r>
    </w:p>
    <w:p>
      <w:pPr>
        <w:spacing w:after="200" w:line="276" w:lineRule="auto"/>
      </w:pPr>
      <w:r>
        <w:t>🧠 Clinical Rationale: Sensory loss masks trauma — daily inspection and proper footwear prevent diabetic foot.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prevents hyperglycaemia — would be appropriate in a different situation, not this one</w:t>
      </w:r>
    </w:p>
    <w:p>
      <w:pPr>
        <w:spacing w:after="200" w:line="276" w:lineRule="auto"/>
      </w:pPr>
      <w:r>
        <w:t>C. It improves vision — would be appropriate in a different situation, not this one</w:t>
      </w:r>
    </w:p>
    <w:p>
      <w:pPr>
        <w:spacing w:after="200" w:line="276" w:lineRule="auto"/>
      </w:pPr>
      <w:r>
        <w:t>D. It is a routine only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manage sundowning in dementia, the nurse should</w:t>
      </w:r>
    </w:p>
    <w:p>
      <w:pPr>
        <w:spacing w:after="200" w:line="276" w:lineRule="auto"/>
      </w:pPr>
      <w:r>
        <w:t>(a) Keep lights bright all night</w:t>
      </w:r>
    </w:p>
    <w:p>
      <w:pPr>
        <w:spacing w:after="200" w:line="276" w:lineRule="auto"/>
      </w:pPr>
      <w:r>
        <w:t>(b) Give stimulants at night</w:t>
      </w:r>
    </w:p>
    <w:p>
      <w:pPr>
        <w:spacing w:after="200" w:line="276" w:lineRule="auto"/>
      </w:pPr>
      <w:r>
        <w:t>(c) Restrict fluids</w:t>
      </w:r>
    </w:p>
    <w:p>
      <w:pPr>
        <w:spacing w:after="200" w:line="276" w:lineRule="auto"/>
      </w:pPr>
      <w:r>
        <w:t>(d) Maintain routines, reduce evening stimuli and ensure adequate daylight activity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Maintain routines, reduce evening stimuli and ensure adequate daylight activity</w:t>
      </w:r>
    </w:p>
    <w:p>
      <w:pPr>
        <w:spacing w:after="200" w:line="276" w:lineRule="auto"/>
      </w:pPr>
      <w:r>
        <w:t>🧠 Clinical Rationale: Regular routines, activity and calm evenings reduce evening agitation.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 lights bright all night — would be appropriate in a different situation, not this one</w:t>
      </w:r>
    </w:p>
    <w:p>
      <w:pPr>
        <w:spacing w:after="200" w:line="276" w:lineRule="auto"/>
      </w:pPr>
      <w:r>
        <w:t>B. Give stimulants at night — would be appropriate in a different situation, not this one</w:t>
      </w:r>
    </w:p>
    <w:p>
      <w:pPr>
        <w:spacing w:after="200" w:line="276" w:lineRule="auto"/>
      </w:pPr>
      <w:r>
        <w:t>C. Restrict fluids — would be appropriate in a different situation, not this one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caesarean section, the nurse should monitor for</w:t>
      </w:r>
    </w:p>
    <w:p>
      <w:pPr>
        <w:spacing w:after="200" w:line="276" w:lineRule="auto"/>
      </w:pPr>
      <w:r>
        <w:t>(a) Only pain</w:t>
      </w:r>
    </w:p>
    <w:p>
      <w:pPr>
        <w:spacing w:after="200" w:line="276" w:lineRule="auto"/>
      </w:pPr>
      <w:r>
        <w:t>(b) Only BP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Vaginal bleeding, wound condition, pain and early ambulation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Vaginal bleeding, wound condition, pain and early ambulation</w:t>
      </w:r>
    </w:p>
    <w:p>
      <w:pPr>
        <w:spacing w:after="200" w:line="276" w:lineRule="auto"/>
      </w:pPr>
      <w:r>
        <w:t>🧠 Clinical Rationale: Observe lochia, wound, pain and mobilise early to prevent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pain — would be appropriate in a different situation, not this one</w:t>
      </w:r>
    </w:p>
    <w:p>
      <w:pPr>
        <w:spacing w:after="200" w:line="276" w:lineRule="auto"/>
      </w:pPr>
      <w:r>
        <w:t>B. Only BP — would be appropriate in a different situation, not this one</w:t>
      </w:r>
    </w:p>
    <w:p>
      <w:pPr>
        <w:spacing w:after="200" w:line="276" w:lineRule="auto"/>
      </w:pPr>
      <w:r>
        <w:t>C. Nothing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suspected acute abdomen is kept NPO because</w:t>
      </w:r>
    </w:p>
    <w:p>
      <w:pPr>
        <w:spacing w:after="200" w:line="276" w:lineRule="auto"/>
      </w:pPr>
      <w:r>
        <w:t>(a) Food can worsen pathology and complicate anaesthesia if surgery is needed</w:t>
      </w:r>
    </w:p>
    <w:p>
      <w:pPr>
        <w:spacing w:after="200" w:line="276" w:lineRule="auto"/>
      </w:pPr>
      <w:r>
        <w:t>(b) It prevents infection</w:t>
      </w:r>
    </w:p>
    <w:p>
      <w:pPr>
        <w:spacing w:after="200" w:line="276" w:lineRule="auto"/>
      </w:pPr>
      <w:r>
        <w:t>(c) It reduces pain only</w:t>
      </w:r>
    </w:p>
    <w:p>
      <w:pPr>
        <w:spacing w:after="200" w:line="276" w:lineRule="auto"/>
      </w:pPr>
      <w:r>
        <w:t>(d) It is tradition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Food can worsen pathology and complicate anaesthesia if surgery is needed</w:t>
      </w:r>
    </w:p>
    <w:p>
      <w:pPr>
        <w:spacing w:after="200" w:line="276" w:lineRule="auto"/>
      </w:pPr>
      <w:r>
        <w:t>🧠 Clinical Rationale: NPO + IV fluids prepare for potential surgery and reduce aspiration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Acute Abdomen - NPO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Food can worsen pathology and complicate anaesthesia if surgery is needed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prevents infection — does not address the immediate life-threatening problem (ABC comes first)</w:t>
      </w:r>
    </w:p>
    <w:p>
      <w:pPr>
        <w:spacing w:after="200" w:line="276" w:lineRule="auto"/>
      </w:pPr>
      <w:r>
        <w:t>C. It reduces pain only — does not address the immediate life-threatening problem (ABC comes first)</w:t>
      </w:r>
    </w:p>
    <w:p>
      <w:pPr>
        <w:spacing w:after="200" w:line="276" w:lineRule="auto"/>
      </w:pPr>
      <w:r>
        <w:t>D. It is tradition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Vitamin K is given to newborns to prevent</w:t>
      </w:r>
    </w:p>
    <w:p>
      <w:pPr>
        <w:spacing w:after="200" w:line="276" w:lineRule="auto"/>
      </w:pPr>
      <w:r>
        <w:t>(a) Anaemia</w:t>
      </w:r>
    </w:p>
    <w:p>
      <w:pPr>
        <w:spacing w:after="200" w:line="276" w:lineRule="auto"/>
      </w:pPr>
      <w:r>
        <w:t>(b) Haemorrhagic disease of the newborn</w:t>
      </w:r>
    </w:p>
    <w:p>
      <w:pPr>
        <w:spacing w:after="200" w:line="276" w:lineRule="auto"/>
      </w:pPr>
      <w:r>
        <w:t>(c) Jaundice</w:t>
      </w:r>
    </w:p>
    <w:p>
      <w:pPr>
        <w:spacing w:after="200" w:line="276" w:lineRule="auto"/>
      </w:pPr>
      <w:r>
        <w:t>(d)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Haemorrhagic disease of the newborn</w:t>
      </w:r>
    </w:p>
    <w:p>
      <w:pPr>
        <w:spacing w:after="200" w:line="276" w:lineRule="auto"/>
      </w:pPr>
      <w:r>
        <w:t>🧠 Clinical Rationale: IM vitamin K at birth prevents bleeding due to immature clotting factors.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Anaemia — plausible, but not the single most accurate fact asked</w:t>
      </w:r>
    </w:p>
    <w:p>
      <w:pPr>
        <w:spacing w:after="200" w:line="276" w:lineRule="auto"/>
      </w:pPr>
      <w:r>
        <w:t>C. Jaundice — plausible, but not the single most accurate fact asked</w:t>
      </w:r>
    </w:p>
    <w:p>
      <w:pPr>
        <w:spacing w:after="200" w:line="276" w:lineRule="auto"/>
      </w:pPr>
      <w:r>
        <w:t>D. Infection — plausible, but not the single most accurate fact asked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discovering a medication error, the nurse's FIRST action is to</w:t>
      </w:r>
    </w:p>
    <w:p>
      <w:pPr>
        <w:spacing w:after="200" w:line="276" w:lineRule="auto"/>
      </w:pPr>
      <w:r>
        <w:t>(a) Document the error</w:t>
      </w:r>
    </w:p>
    <w:p>
      <w:pPr>
        <w:spacing w:after="200" w:line="276" w:lineRule="auto"/>
      </w:pPr>
      <w:r>
        <w:t>(b) Call a meeting</w:t>
      </w:r>
    </w:p>
    <w:p>
      <w:pPr>
        <w:spacing w:after="200" w:line="276" w:lineRule="auto"/>
      </w:pPr>
      <w:r>
        <w:t>(c) Dispose of the medication</w:t>
      </w:r>
    </w:p>
    <w:p>
      <w:pPr>
        <w:spacing w:after="200" w:line="276" w:lineRule="auto"/>
      </w:pPr>
      <w:r>
        <w:t>(d) Assess the patient's condition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Assess the patient's condition</w:t>
      </w:r>
    </w:p>
    <w:p>
      <w:pPr>
        <w:spacing w:after="200" w:line="276" w:lineRule="auto"/>
      </w:pPr>
      <w:r>
        <w:t>🧠 Clinical Rationale: Patient safety first; then report, document and review the cause.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Medication Error - First Step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Assess the patient's condition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Document the error — documentation — always after the intervention, never first</w:t>
      </w:r>
    </w:p>
    <w:p>
      <w:pPr>
        <w:spacing w:after="200" w:line="276" w:lineRule="auto"/>
      </w:pPr>
      <w:r>
        <w:t>B. Call a meeting — does not address the immediate life-threatening problem (ABC comes first)</w:t>
      </w:r>
    </w:p>
    <w:p>
      <w:pPr>
        <w:spacing w:after="200" w:line="276" w:lineRule="auto"/>
      </w:pPr>
      <w:r>
        <w:t>C. Dispose of the medication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for a COPD patient with hypercapnia is given</w:t>
      </w:r>
    </w:p>
    <w:p>
      <w:pPr>
        <w:spacing w:after="200" w:line="276" w:lineRule="auto"/>
      </w:pPr>
      <w:r>
        <w:t>(a) At 15 L/min always</w:t>
      </w:r>
    </w:p>
    <w:p>
      <w:pPr>
        <w:spacing w:after="200" w:line="276" w:lineRule="auto"/>
      </w:pPr>
      <w:r>
        <w:t>(b) Only on request</w:t>
      </w:r>
    </w:p>
    <w:p>
      <w:pPr>
        <w:spacing w:after="200" w:line="276" w:lineRule="auto"/>
      </w:pPr>
      <w:r>
        <w:t>(c) At a low flow (target SpO2 88-92%) with monitoring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 a low flow (target SpO2 88-92%) with monitoring</w:t>
      </w:r>
    </w:p>
    <w:p>
      <w:pPr>
        <w:spacing w:after="200" w:line="276" w:lineRule="auto"/>
      </w:pPr>
      <w:r>
        <w:t>🧠 Clinical Rationale: Controlled oxygen avoids worsening hypercapnia while correcting hypoxia.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 15 L/min always — does not match the characteristic feature/management described in the stem</w:t>
      </w:r>
    </w:p>
    <w:p>
      <w:pPr>
        <w:spacing w:after="200" w:line="276" w:lineRule="auto"/>
      </w:pPr>
      <w:r>
        <w:t>B. Only on request — does not match the characteristic feature/management described in the stem</w:t>
      </w:r>
    </w:p>
    <w:p>
      <w:pPr>
        <w:spacing w:after="200" w:line="276" w:lineRule="auto"/>
      </w:pPr>
      <w:r>
        <w:t>D. Never — does not match the characteristic feature/management described in the stem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Oxygen therapy</w:t>
      </w:r>
    </w:p>
    <w:p>
      <w:pPr>
        <w:spacing w:after="200" w:line="276" w:lineRule="auto"/>
      </w:pPr>
      <w:r>
        <w:t>→ Fire hazard: no smoking/flames near oxygen, no oil-based lubricants</w:t>
      </w:r>
    </w:p>
    <w:p>
      <w:pPr>
        <w:spacing w:after="200" w:line="276" w:lineRule="auto"/>
      </w:pPr>
      <w:r>
        <w:t>→ COPD: low-flow oxygen (1–2 L/min), watch for CO2 retention</w:t>
      </w:r>
    </w:p>
    <w:p>
      <w:pPr>
        <w:spacing w:after="200" w:line="276" w:lineRule="auto"/>
      </w:pPr>
      <w:r>
        <w:t>→ Humidify for high flow; monitor SpO₂ target 88–92% in COPD, &gt;94% otherwise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food-borne outbreak, the immediate control measure is</w:t>
      </w:r>
    </w:p>
    <w:p>
      <w:pPr>
        <w:spacing w:after="200" w:line="276" w:lineRule="auto"/>
      </w:pPr>
      <w:r>
        <w:t>(a) Closing all schools</w:t>
      </w:r>
    </w:p>
    <w:p>
      <w:pPr>
        <w:spacing w:after="200" w:line="276" w:lineRule="auto"/>
      </w:pPr>
      <w:r>
        <w:t>(b) Vaccinating everyone</w:t>
      </w:r>
    </w:p>
    <w:p>
      <w:pPr>
        <w:spacing w:after="200" w:line="276" w:lineRule="auto"/>
      </w:pPr>
      <w:r>
        <w:t>(c) Waiting for lab results</w:t>
      </w:r>
    </w:p>
    <w:p>
      <w:pPr>
        <w:spacing w:after="200" w:line="276" w:lineRule="auto"/>
      </w:pPr>
      <w:r>
        <w:t>(d) Removing the contaminated source and investigating cases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Removing the contaminated source and investigating cases</w:t>
      </w:r>
    </w:p>
    <w:p>
      <w:pPr>
        <w:spacing w:after="200" w:line="276" w:lineRule="auto"/>
      </w:pPr>
      <w:r>
        <w:t>🧠 Clinical Rationale: Source control plus case investigation limits spread; report to surveillance.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Closing all schools — would be appropriate in a different situation, not this one</w:t>
      </w:r>
    </w:p>
    <w:p>
      <w:pPr>
        <w:spacing w:after="200" w:line="276" w:lineRule="auto"/>
      </w:pPr>
      <w:r>
        <w:t>B. Vaccinating everyone — would be appropriate in a different situation, not this one</w:t>
      </w:r>
    </w:p>
    <w:p>
      <w:pPr>
        <w:spacing w:after="200" w:line="276" w:lineRule="auto"/>
      </w:pPr>
      <w:r>
        <w:t>C. Waiting for lab results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renal colic finds relief by</w:t>
      </w:r>
    </w:p>
    <w:p>
      <w:pPr>
        <w:spacing w:after="200" w:line="276" w:lineRule="auto"/>
      </w:pPr>
      <w:r>
        <w:t>(a) Lying completely still without fluids</w:t>
      </w:r>
    </w:p>
    <w:p>
      <w:pPr>
        <w:spacing w:after="200" w:line="276" w:lineRule="auto"/>
      </w:pPr>
      <w:r>
        <w:t>(b) Strenuous exercise</w:t>
      </w:r>
    </w:p>
    <w:p>
      <w:pPr>
        <w:spacing w:after="200" w:line="276" w:lineRule="auto"/>
      </w:pPr>
      <w:r>
        <w:t>(c) Analgesics and hydration (position varies by comfort)</w:t>
      </w:r>
    </w:p>
    <w:p>
      <w:pPr>
        <w:spacing w:after="200" w:line="276" w:lineRule="auto"/>
      </w:pPr>
      <w:r>
        <w:t>(d) Massage over the kidney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Analgesics and hydration (position varies by comfort)</w:t>
      </w:r>
    </w:p>
    <w:p>
      <w:pPr>
        <w:spacing w:after="200" w:line="276" w:lineRule="auto"/>
      </w:pPr>
      <w:r>
        <w:t>🧠 Clinical Rationale: NSAID analgesia, fluids and appropriate imaging guide stone management.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Lying completely still without fluids — would be appropriate in a different situation, not this one</w:t>
      </w:r>
    </w:p>
    <w:p>
      <w:pPr>
        <w:spacing w:after="200" w:line="276" w:lineRule="auto"/>
      </w:pPr>
      <w:r>
        <w:t>B. Strenuous exercise — would be appropriate in a different situation, not this one</w:t>
      </w:r>
    </w:p>
    <w:p>
      <w:pPr>
        <w:spacing w:after="200" w:line="276" w:lineRule="auto"/>
      </w:pPr>
      <w:r>
        <w:t>D. Massage over the kidney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with severe headache, visual disturbances and epigastric pain may have</w:t>
      </w:r>
    </w:p>
    <w:p>
      <w:pPr>
        <w:spacing w:after="200" w:line="276" w:lineRule="auto"/>
      </w:pPr>
      <w:r>
        <w:t>(a) Normal pregnancy</w:t>
      </w:r>
    </w:p>
    <w:p>
      <w:pPr>
        <w:spacing w:after="200" w:line="276" w:lineRule="auto"/>
      </w:pPr>
      <w:r>
        <w:t>(b) Indigestion</w:t>
      </w:r>
    </w:p>
    <w:p>
      <w:pPr>
        <w:spacing w:after="200" w:line="276" w:lineRule="auto"/>
      </w:pPr>
      <w:r>
        <w:t>(c) Migraine only</w:t>
      </w:r>
    </w:p>
    <w:p>
      <w:pPr>
        <w:spacing w:after="200" w:line="276" w:lineRule="auto"/>
      </w:pPr>
      <w:r>
        <w:t>(d) Pre-eclampsia — check BP and urine protein urgently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Pre-eclampsia — check BP and urine protein urgently</w:t>
      </w:r>
    </w:p>
    <w:p>
      <w:pPr>
        <w:spacing w:after="200" w:line="276" w:lineRule="auto"/>
      </w:pPr>
      <w:r>
        <w:t>🧠 Clinical Rationale: These are pre-eclampsia warning signs — urgent BP, urinalysis and assessment.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pregnancy — does not match the characteristic feature/management described in the stem</w:t>
      </w:r>
    </w:p>
    <w:p>
      <w:pPr>
        <w:spacing w:after="200" w:line="276" w:lineRule="auto"/>
      </w:pPr>
      <w:r>
        <w:t>B. Indigestion — does not match the characteristic feature/management described in the stem</w:t>
      </w:r>
    </w:p>
    <w:p>
      <w:pPr>
        <w:spacing w:after="200" w:line="276" w:lineRule="auto"/>
      </w:pPr>
      <w:r>
        <w:t>C. Migraine only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Complicated grief is suspected when</w:t>
      </w:r>
    </w:p>
    <w:p>
      <w:pPr>
        <w:spacing w:after="200" w:line="276" w:lineRule="auto"/>
      </w:pPr>
      <w:r>
        <w:t>(a) Sadness lasts a few weeks</w:t>
      </w:r>
    </w:p>
    <w:p>
      <w:pPr>
        <w:spacing w:after="200" w:line="276" w:lineRule="auto"/>
      </w:pPr>
      <w:r>
        <w:t>(b) The person talks about the loss</w:t>
      </w:r>
    </w:p>
    <w:p>
      <w:pPr>
        <w:spacing w:after="200" w:line="276" w:lineRule="auto"/>
      </w:pPr>
      <w:r>
        <w:t>(c) Intense symptoms persist beyond ~6-12 months with impaired function</w:t>
      </w:r>
    </w:p>
    <w:p>
      <w:pPr>
        <w:spacing w:after="200" w:line="276" w:lineRule="auto"/>
      </w:pPr>
      <w:r>
        <w:t>(d) Sleep is disturbed initially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Intense symptoms persist beyond ~6-12 months with impaired function</w:t>
      </w:r>
    </w:p>
    <w:p>
      <w:pPr>
        <w:spacing w:after="200" w:line="276" w:lineRule="auto"/>
      </w:pPr>
      <w:r>
        <w:t>🧠 Clinical Rationale: Prolonged, disabling grief needs assessment and support; normal grief eases with time.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Sadness lasts a few weeks — would be appropriate in a different situation, not this one</w:t>
      </w:r>
    </w:p>
    <w:p>
      <w:pPr>
        <w:spacing w:after="200" w:line="276" w:lineRule="auto"/>
      </w:pPr>
      <w:r>
        <w:t>B. The person talks about the loss — would be appropriate in a different situation, not this one</w:t>
      </w:r>
    </w:p>
    <w:p>
      <w:pPr>
        <w:spacing w:after="200" w:line="276" w:lineRule="auto"/>
      </w:pPr>
      <w:r>
        <w:t>D. Sleep is disturbed initially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sterile field is considered contaminated when</w:t>
      </w:r>
    </w:p>
    <w:p>
      <w:pPr>
        <w:spacing w:after="200" w:line="276" w:lineRule="auto"/>
      </w:pPr>
      <w:r>
        <w:t>(a) It is dry</w:t>
      </w:r>
    </w:p>
    <w:p>
      <w:pPr>
        <w:spacing w:after="200" w:line="276" w:lineRule="auto"/>
      </w:pPr>
      <w:r>
        <w:t>(b) It is left unattended or touched by an unsterile object</w:t>
      </w:r>
    </w:p>
    <w:p>
      <w:pPr>
        <w:spacing w:after="200" w:line="276" w:lineRule="auto"/>
      </w:pPr>
      <w:r>
        <w:t>(c) It was just opened</w:t>
      </w:r>
    </w:p>
    <w:p>
      <w:pPr>
        <w:spacing w:after="200" w:line="276" w:lineRule="auto"/>
      </w:pPr>
      <w:r>
        <w:t>(d) Gloves were worn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It is left unattended or touched by an unsterile object</w:t>
      </w:r>
    </w:p>
    <w:p>
      <w:pPr>
        <w:spacing w:after="200" w:line="276" w:lineRule="auto"/>
      </w:pPr>
      <w:r>
        <w:t>🧠 Clinical Rationale: Unattended or wet fields and unsterile contact break sterility.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dry — would be appropriate in a different situation, not this one</w:t>
      </w:r>
    </w:p>
    <w:p>
      <w:pPr>
        <w:spacing w:after="200" w:line="276" w:lineRule="auto"/>
      </w:pPr>
      <w:r>
        <w:t>C. It was just opened — would be appropriate in a different situation, not this one</w:t>
      </w:r>
    </w:p>
    <w:p>
      <w:pPr>
        <w:spacing w:after="200" w:line="276" w:lineRule="auto"/>
      </w:pPr>
      <w:r>
        <w:t>D. Gloves were worn — would be appropriate in a different situation, not this one</w:t>
      </w:r>
    </w:p>
    <w:p>
      <w:pPr>
        <w:spacing w:after="200" w:line="276" w:lineRule="auto"/>
      </w:pPr>
      <w:r>
        <w:t>⚠️ Exam Trap: Sterile field violations are the exam point: below-waist items, wet/damp surfaces, and reaching across the field all break sterility.</w:t>
      </w:r>
    </w:p>
    <w:p>
      <w:pPr>
        <w:spacing w:after="200" w:line="276" w:lineRule="auto"/>
      </w:pPr>
      <w:r>
        <w:t>💎 PNC Pearl: Sterile field rules: the outer 1-inch border is contaminated, never turn your back on the field, and keep it at or above waist level.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Sterile field</w:t>
      </w:r>
    </w:p>
    <w:p>
      <w:pPr>
        <w:spacing w:after="200" w:line="276" w:lineRule="auto"/>
      </w:pPr>
      <w:r>
        <w:t>→ Only sterile items touch the field; 1-inch outer border is contaminated</w:t>
      </w:r>
    </w:p>
    <w:p>
      <w:pPr>
        <w:spacing w:after="200" w:line="276" w:lineRule="auto"/>
      </w:pPr>
      <w:r>
        <w:t>→ Keep field at or above waist level; never turn back on it</w:t>
      </w:r>
    </w:p>
    <w:p>
      <w:pPr>
        <w:spacing w:after="200" w:line="276" w:lineRule="auto"/>
      </w:pPr>
      <w:r>
        <w:t>→ Moisture (sweat/water) contaminates — keep dry</w:t>
      </w:r>
    </w:p>
    <w:p>
      <w:pPr>
        <w:spacing w:after="200" w:line="276" w:lineRule="auto"/>
      </w:pPr>
      <w:r>
        <w:t>→ Open sterile packages away from you first, then sides</w:t>
      </w:r>
    </w:p>
    <w:p>
      <w:pPr>
        <w:spacing w:after="200" w:line="276" w:lineRule="auto"/>
      </w:pPr>
      <w:r>
        <w:t>→ Add items without reaching across the field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Hyperosmolar hyperglycaemic state differs from DKA by</w:t>
      </w:r>
    </w:p>
    <w:p>
      <w:pPr>
        <w:spacing w:after="200" w:line="276" w:lineRule="auto"/>
      </w:pPr>
      <w:r>
        <w:t>(a) Marked ketosis</w:t>
      </w:r>
    </w:p>
    <w:p>
      <w:pPr>
        <w:spacing w:after="200" w:line="276" w:lineRule="auto"/>
      </w:pPr>
      <w:r>
        <w:t>(b) Very high glucose with minimal ketones and profound dehydration</w:t>
      </w:r>
    </w:p>
    <w:p>
      <w:pPr>
        <w:spacing w:after="200" w:line="276" w:lineRule="auto"/>
      </w:pPr>
      <w:r>
        <w:t>(c) Younger patients typically</w:t>
      </w:r>
    </w:p>
    <w:p>
      <w:pPr>
        <w:spacing w:after="200" w:line="276" w:lineRule="auto"/>
      </w:pPr>
      <w:r>
        <w:t>(d) Metabolic acidosis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Very high glucose with minimal ketones and profound dehydration</w:t>
      </w:r>
    </w:p>
    <w:p>
      <w:pPr>
        <w:spacing w:after="200" w:line="276" w:lineRule="auto"/>
      </w:pPr>
      <w:r>
        <w:t>🧠 Clinical Rationale: HHS: glucose often &gt;600 mg/dL, minimal ketosis — gradual rehydration is key.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Marked ketosis — does not match the characteristic feature/management described in the stem</w:t>
      </w:r>
    </w:p>
    <w:p>
      <w:pPr>
        <w:spacing w:after="200" w:line="276" w:lineRule="auto"/>
      </w:pPr>
      <w:r>
        <w:t>C. Younger patients typically — does not match the characteristic feature/management described in the stem</w:t>
      </w:r>
    </w:p>
    <w:p>
      <w:pPr>
        <w:spacing w:after="200" w:line="276" w:lineRule="auto"/>
      </w:pPr>
      <w:r>
        <w:t>D. Metabolic acidosis always — does not match the characteristic feature/management described in the stem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Deworming Day administers which drug to children?</w:t>
      </w:r>
    </w:p>
    <w:p>
      <w:pPr>
        <w:spacing w:after="200" w:line="276" w:lineRule="auto"/>
      </w:pPr>
      <w:r>
        <w:t>(a) Albendazole</w:t>
      </w:r>
    </w:p>
    <w:p>
      <w:pPr>
        <w:spacing w:after="200" w:line="276" w:lineRule="auto"/>
      </w:pPr>
      <w:r>
        <w:t>(b) Mebendazole only</w:t>
      </w:r>
    </w:p>
    <w:p>
      <w:pPr>
        <w:spacing w:after="200" w:line="276" w:lineRule="auto"/>
      </w:pPr>
      <w:r>
        <w:t>(c) Praziquantel</w:t>
      </w:r>
    </w:p>
    <w:p>
      <w:pPr>
        <w:spacing w:after="200" w:line="276" w:lineRule="auto"/>
      </w:pPr>
      <w:r>
        <w:t>(d) Chloroquine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Albendazole</w:t>
      </w:r>
    </w:p>
    <w:p>
      <w:pPr>
        <w:spacing w:after="200" w:line="276" w:lineRule="auto"/>
      </w:pPr>
      <w:r>
        <w:t>🧠 Clinical Rationale: Albendazole (400 mg) is given twice yearly to school-age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Mebendazole only — would be appropriate in a different situation, not this one</w:t>
      </w:r>
    </w:p>
    <w:p>
      <w:pPr>
        <w:spacing w:after="200" w:line="276" w:lineRule="auto"/>
      </w:pPr>
      <w:r>
        <w:t>C. Praziquantel — would be appropriate in a different situation, not this one</w:t>
      </w:r>
    </w:p>
    <w:p>
      <w:pPr>
        <w:spacing w:after="200" w:line="276" w:lineRule="auto"/>
      </w:pPr>
      <w:r>
        <w:t>D. Chloroquine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