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Acute angle-closure glaucoma presents with</w:t>
      </w:r>
    </w:p>
    <w:p>
      <w:pPr>
        <w:spacing w:after="200" w:line="276" w:lineRule="auto"/>
      </w:pPr>
      <w:r>
        <w:t>(a) Painless vision loss</w:t>
      </w:r>
    </w:p>
    <w:p>
      <w:pPr>
        <w:spacing w:after="200" w:line="276" w:lineRule="auto"/>
      </w:pPr>
      <w:r>
        <w:t>(b) Severe eye pain, blurred vision, halos and a fixed mid-dilated pupil</w:t>
      </w:r>
    </w:p>
    <w:p>
      <w:pPr>
        <w:spacing w:after="200" w:line="276" w:lineRule="auto"/>
      </w:pPr>
      <w:r>
        <w:t>(c) Watery eyes</w:t>
      </w:r>
    </w:p>
    <w:p>
      <w:pPr>
        <w:spacing w:after="200" w:line="276" w:lineRule="auto"/>
      </w:pPr>
      <w:r>
        <w:t>(d) Photophobia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Severe eye pain, blurred vision, halos and a fixed mid-dilated pupil</w:t>
      </w:r>
    </w:p>
    <w:p>
      <w:pPr>
        <w:spacing w:after="200" w:line="276" w:lineRule="auto"/>
      </w:pPr>
      <w:r>
        <w:t>🧠 Clinical Rationale: Emergency: raised IOP damages the optic nerve — urgent ophthalmology and pressure-lowering.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Painless vision loss — does not match the characteristic feature/management described in the stem</w:t>
      </w:r>
    </w:p>
    <w:p>
      <w:pPr>
        <w:spacing w:after="200" w:line="276" w:lineRule="auto"/>
      </w:pPr>
      <w:r>
        <w:t>C. Watery eyes — does not match the characteristic feature/management described in the stem</w:t>
      </w:r>
    </w:p>
    <w:p>
      <w:pPr>
        <w:spacing w:after="200" w:line="276" w:lineRule="auto"/>
      </w:pPr>
      <w:r>
        <w:t>D. Photophobia only — does not match the characteristic feature/management described in the stem</w:t>
      </w:r>
    </w:p>
    <w:p>
      <w:pPr>
        <w:spacing w:after="200" w:line="276" w:lineRule="auto"/>
      </w:pPr>
      <w:r>
        <w:t>⚠️ Exam Trap: Glaucoma care: avoid activities that raise IOP — straining, heavy lifting, bending, tight collars; angle-closure is an emergency (painful red eye).</w:t>
      </w:r>
    </w:p>
    <w:p>
      <w:pPr>
        <w:spacing w:after="200" w:line="276" w:lineRule="auto"/>
      </w:pPr>
      <w:r>
        <w:t>💎 PNC Pearl: Glaucoma: raised intraocular pressure damages the optic nerve — eye drops (beta-blockers/prostaglandins) and avoid straining/Valsalva.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Glaucoma</w:t>
      </w:r>
    </w:p>
    <w:p>
      <w:pPr>
        <w:spacing w:after="200" w:line="276" w:lineRule="auto"/>
      </w:pPr>
      <w:r>
        <w:t>→ Open-angle: chronic, silent peripheral vision loss — most common</w:t>
      </w:r>
    </w:p>
    <w:p>
      <w:pPr>
        <w:spacing w:after="200" w:line="276" w:lineRule="auto"/>
      </w:pPr>
      <w:r>
        <w:t>→ Angle-closure: sudden severe eye pain, halos, nausea — EMERGENCY (pilocarpine, laser)</w:t>
      </w:r>
    </w:p>
    <w:p>
      <w:pPr>
        <w:spacing w:after="200" w:line="276" w:lineRule="auto"/>
      </w:pPr>
      <w:r>
        <w:t>→ Treatment: prostaglandin analogues, beta-blocker drops, laser/surgery</w:t>
      </w:r>
    </w:p>
    <w:p>
      <w:pPr>
        <w:spacing w:after="200" w:line="276" w:lineRule="auto"/>
      </w:pPr>
      <w:r>
        <w:t>→ Teaching: no heavy lifting/straining, take drops regularly, report vision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Serious adverse events following immunisation must be</w:t>
      </w:r>
    </w:p>
    <w:p>
      <w:pPr>
        <w:spacing w:after="200" w:line="276" w:lineRule="auto"/>
      </w:pPr>
      <w:r>
        <w:t>(a) Kept confidential</w:t>
      </w:r>
    </w:p>
    <w:p>
      <w:pPr>
        <w:spacing w:after="200" w:line="276" w:lineRule="auto"/>
      </w:pPr>
      <w:r>
        <w:t>(b) Reported through the AEFI surveillance system</w:t>
      </w:r>
    </w:p>
    <w:p>
      <w:pPr>
        <w:spacing w:after="200" w:line="276" w:lineRule="auto"/>
      </w:pPr>
      <w:r>
        <w:t>(c) Ignored</w:t>
      </w:r>
    </w:p>
    <w:p>
      <w:pPr>
        <w:spacing w:after="200" w:line="276" w:lineRule="auto"/>
      </w:pPr>
      <w:r>
        <w:t>(d) Documented privately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Reported through the AEFI surveillance system</w:t>
      </w:r>
    </w:p>
    <w:p>
      <w:pPr>
        <w:spacing w:after="200" w:line="276" w:lineRule="auto"/>
      </w:pPr>
      <w:r>
        <w:t>🧠 Clinical Rationale: AEFI reporting ensures vaccine safety monitoring and response.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Kept confidential — would be appropriate in a different situation, not this one</w:t>
      </w:r>
    </w:p>
    <w:p>
      <w:pPr>
        <w:spacing w:after="200" w:line="276" w:lineRule="auto"/>
      </w:pPr>
      <w:r>
        <w:t>C. Ignored — would be appropriate in a different situation, not this one</w:t>
      </w:r>
    </w:p>
    <w:p>
      <w:pPr>
        <w:spacing w:after="200" w:line="276" w:lineRule="auto"/>
      </w:pPr>
      <w:r>
        <w:t>D. Documented privately only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Boiling for 20 minutes achieves</w:t>
      </w:r>
    </w:p>
    <w:p>
      <w:pPr>
        <w:spacing w:after="200" w:line="276" w:lineRule="auto"/>
      </w:pPr>
      <w:r>
        <w:t>(a) Sterilisation</w:t>
      </w:r>
    </w:p>
    <w:p>
      <w:pPr>
        <w:spacing w:after="200" w:line="276" w:lineRule="auto"/>
      </w:pPr>
      <w:r>
        <w:t>(b) Sanitisation only</w:t>
      </w:r>
    </w:p>
    <w:p>
      <w:pPr>
        <w:spacing w:after="200" w:line="276" w:lineRule="auto"/>
      </w:pPr>
      <w:r>
        <w:t>(c) Disinfection (not sterilisation — spores survive)</w:t>
      </w:r>
    </w:p>
    <w:p>
      <w:pPr>
        <w:spacing w:after="200" w:line="276" w:lineRule="auto"/>
      </w:pPr>
      <w:r>
        <w:t>(d) No effect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Disinfection (not sterilisation — spores survive)</w:t>
      </w:r>
    </w:p>
    <w:p>
      <w:pPr>
        <w:spacing w:after="200" w:line="276" w:lineRule="auto"/>
      </w:pPr>
      <w:r>
        <w:t>🧠 Clinical Rationale: Boiling kills most vegetative organisms but not spores — use autoclave for sterilisation.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Sterilisation — plausible, but not the single most accurate fact asked</w:t>
      </w:r>
    </w:p>
    <w:p>
      <w:pPr>
        <w:spacing w:after="200" w:line="276" w:lineRule="auto"/>
      </w:pPr>
      <w:r>
        <w:t>B. Sanitisation only — plausible, but not the single most accurate fact asked</w:t>
      </w:r>
    </w:p>
    <w:p>
      <w:pPr>
        <w:spacing w:after="200" w:line="276" w:lineRule="auto"/>
      </w:pPr>
      <w:r>
        <w:t>D. No effect — plausible, but not the single most accurate fact asked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Pursed-lip breathing helps by</w:t>
      </w:r>
    </w:p>
    <w:p>
      <w:pPr>
        <w:spacing w:after="200" w:line="276" w:lineRule="auto"/>
      </w:pPr>
      <w:r>
        <w:t>(a) Creating back pressure to keep airways open</w:t>
      </w:r>
    </w:p>
    <w:p>
      <w:pPr>
        <w:spacing w:after="200" w:line="276" w:lineRule="auto"/>
      </w:pPr>
      <w:r>
        <w:t>(b) Increasing respiratory rate</w:t>
      </w:r>
    </w:p>
    <w:p>
      <w:pPr>
        <w:spacing w:after="200" w:line="276" w:lineRule="auto"/>
      </w:pPr>
      <w:r>
        <w:t>(c) Raising oxygen demand</w:t>
      </w:r>
    </w:p>
    <w:p>
      <w:pPr>
        <w:spacing w:after="200" w:line="276" w:lineRule="auto"/>
      </w:pPr>
      <w:r>
        <w:t>(d) Reducing heart rate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Creating back pressure to keep airways open</w:t>
      </w:r>
    </w:p>
    <w:p>
      <w:pPr>
        <w:spacing w:after="200" w:line="276" w:lineRule="auto"/>
      </w:pPr>
      <w:r>
        <w:t>🧠 Clinical Rationale: Prolonged expiration prevents airway collapse and improves gas exchange.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Increasing respiratory rate — would be appropriate in a different situation, not this one</w:t>
      </w:r>
    </w:p>
    <w:p>
      <w:pPr>
        <w:spacing w:after="200" w:line="276" w:lineRule="auto"/>
      </w:pPr>
      <w:r>
        <w:t>C. Raising oxygen demand — would be appropriate in a different situation, not this one</w:t>
      </w:r>
    </w:p>
    <w:p>
      <w:pPr>
        <w:spacing w:after="200" w:line="276" w:lineRule="auto"/>
      </w:pPr>
      <w:r>
        <w:t>D. Reducing heart rate only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Generalised anxiety disorder is characterised by</w:t>
      </w:r>
    </w:p>
    <w:p>
      <w:pPr>
        <w:spacing w:after="200" w:line="276" w:lineRule="auto"/>
      </w:pPr>
      <w:r>
        <w:t>(a) Panic attacks only</w:t>
      </w:r>
    </w:p>
    <w:p>
      <w:pPr>
        <w:spacing w:after="200" w:line="276" w:lineRule="auto"/>
      </w:pPr>
      <w:r>
        <w:t>(b) Excessive worry about multiple events for at least 6 months</w:t>
      </w:r>
    </w:p>
    <w:p>
      <w:pPr>
        <w:spacing w:after="200" w:line="276" w:lineRule="auto"/>
      </w:pPr>
      <w:r>
        <w:t>(c) Specific phobias</w:t>
      </w:r>
    </w:p>
    <w:p>
      <w:pPr>
        <w:spacing w:after="200" w:line="276" w:lineRule="auto"/>
      </w:pPr>
      <w:r>
        <w:t>(d) Obsessions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Excessive worry about multiple events for at least 6 months</w:t>
      </w:r>
    </w:p>
    <w:p>
      <w:pPr>
        <w:spacing w:after="200" w:line="276" w:lineRule="auto"/>
      </w:pPr>
      <w:r>
        <w:t>🧠 Clinical Rationale: GAD: chronic, diffuse worry with somatic symptoms — first-line SSRIs and CBT.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Panic attacks only — plausible, but not the single most accurate fact asked</w:t>
      </w:r>
    </w:p>
    <w:p>
      <w:pPr>
        <w:spacing w:after="200" w:line="276" w:lineRule="auto"/>
      </w:pPr>
      <w:r>
        <w:t>C. Specific phobias — plausible, but not the single most accurate fact asked</w:t>
      </w:r>
    </w:p>
    <w:p>
      <w:pPr>
        <w:spacing w:after="200" w:line="276" w:lineRule="auto"/>
      </w:pPr>
      <w:r>
        <w:t>D. Obsessions — plausible, but not the single most accurate fact asked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nutritional deficiency in India is</w:t>
      </w:r>
    </w:p>
    <w:p>
      <w:pPr>
        <w:spacing w:after="200" w:line="276" w:lineRule="auto"/>
      </w:pPr>
      <w:r>
        <w:t>(a) Vitamin D deficiency</w:t>
      </w:r>
    </w:p>
    <w:p>
      <w:pPr>
        <w:spacing w:after="200" w:line="276" w:lineRule="auto"/>
      </w:pPr>
      <w:r>
        <w:t>(b) Protein deficiency only</w:t>
      </w:r>
    </w:p>
    <w:p>
      <w:pPr>
        <w:spacing w:after="200" w:line="276" w:lineRule="auto"/>
      </w:pPr>
      <w:r>
        <w:t>(c) Iodine excess</w:t>
      </w:r>
    </w:p>
    <w:p>
      <w:pPr>
        <w:spacing w:after="200" w:line="276" w:lineRule="auto"/>
      </w:pPr>
      <w:r>
        <w:t>(d) Iron deficiency anaemia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Iron deficiency anaemia</w:t>
      </w:r>
    </w:p>
    <w:p>
      <w:pPr>
        <w:spacing w:after="200" w:line="276" w:lineRule="auto"/>
      </w:pPr>
      <w:r>
        <w:t>🧠 Clinical Rationale: Iron deficiency affects women and children — IFA supplementation is key.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D deficiency — would be appropriate in a different situation, not this one</w:t>
      </w:r>
    </w:p>
    <w:p>
      <w:pPr>
        <w:spacing w:after="200" w:line="276" w:lineRule="auto"/>
      </w:pPr>
      <w:r>
        <w:t>B. Protein deficiency only — would be appropriate in a different situation, not this one</w:t>
      </w:r>
    </w:p>
    <w:p>
      <w:pPr>
        <w:spacing w:after="200" w:line="276" w:lineRule="auto"/>
      </w:pPr>
      <w:r>
        <w:t>C. Iodine excess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sign of acute rejection after renal transplant is</w:t>
      </w:r>
    </w:p>
    <w:p>
      <w:pPr>
        <w:spacing w:after="200" w:line="276" w:lineRule="auto"/>
      </w:pPr>
      <w:r>
        <w:t>(a) Weight loss</w:t>
      </w:r>
    </w:p>
    <w:p>
      <w:pPr>
        <w:spacing w:after="200" w:line="276" w:lineRule="auto"/>
      </w:pPr>
      <w:r>
        <w:t>(b) Normal urine output</w:t>
      </w:r>
    </w:p>
    <w:p>
      <w:pPr>
        <w:spacing w:after="200" w:line="276" w:lineRule="auto"/>
      </w:pPr>
      <w:r>
        <w:t>(c) Rising creatinine, oliguria and graft tenderness</w:t>
      </w:r>
    </w:p>
    <w:p>
      <w:pPr>
        <w:spacing w:after="200" w:line="276" w:lineRule="auto"/>
      </w:pPr>
      <w:r>
        <w:t>(d) Hypotension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Rising creatinine, oliguria and graft tenderness</w:t>
      </w:r>
    </w:p>
    <w:p>
      <w:pPr>
        <w:spacing w:after="200" w:line="276" w:lineRule="auto"/>
      </w:pPr>
      <w:r>
        <w:t>🧠 Clinical Rationale: Rejection needs prompt diagnosis (biopsy) and immunosuppression adjustment.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loss — does not match the characteristic feature/management described in the stem</w:t>
      </w:r>
    </w:p>
    <w:p>
      <w:pPr>
        <w:spacing w:after="200" w:line="276" w:lineRule="auto"/>
      </w:pPr>
      <w:r>
        <w:t>B. Normal urine output — does not match the characteristic feature/management described in the stem</w:t>
      </w:r>
    </w:p>
    <w:p>
      <w:pPr>
        <w:spacing w:after="200" w:line="276" w:lineRule="auto"/>
      </w:pPr>
      <w:r>
        <w:t>D. Hypotension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promote perineal healing after delivery, advise</w:t>
      </w:r>
    </w:p>
    <w:p>
      <w:pPr>
        <w:spacing w:after="200" w:line="276" w:lineRule="auto"/>
      </w:pPr>
      <w:r>
        <w:t>(a) Sitz baths, front-to-back hygiene and loose cotton underwear</w:t>
      </w:r>
    </w:p>
    <w:p>
      <w:pPr>
        <w:spacing w:after="200" w:line="276" w:lineRule="auto"/>
      </w:pPr>
      <w:r>
        <w:t>(b) Tight synthetic garments</w:t>
      </w:r>
    </w:p>
    <w:p>
      <w:pPr>
        <w:spacing w:after="200" w:line="276" w:lineRule="auto"/>
      </w:pPr>
      <w:r>
        <w:t>(c) Avoiding hygiene</w:t>
      </w:r>
    </w:p>
    <w:p>
      <w:pPr>
        <w:spacing w:after="200" w:line="276" w:lineRule="auto"/>
      </w:pPr>
      <w:r>
        <w:t>(d) Sitting on hard surfaces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Sitz baths, front-to-back hygiene and loose cotton underwear</w:t>
      </w:r>
    </w:p>
    <w:p>
      <w:pPr>
        <w:spacing w:after="200" w:line="276" w:lineRule="auto"/>
      </w:pPr>
      <w:r>
        <w:t>🧠 Clinical Rationale: Cleanliness, sitz baths and air circulation aid healing and prevent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Tight synthetic garments — would be appropriate in a different situation, not this one</w:t>
      </w:r>
    </w:p>
    <w:p>
      <w:pPr>
        <w:spacing w:after="200" w:line="276" w:lineRule="auto"/>
      </w:pPr>
      <w:r>
        <w:t>C. Avoiding hygiene — would be appropriate in a different situation, not this one</w:t>
      </w:r>
    </w:p>
    <w:p>
      <w:pPr>
        <w:spacing w:after="200" w:line="276" w:lineRule="auto"/>
      </w:pPr>
      <w:r>
        <w:t>D. Sitting on hard surfaces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Low birth weight is defined as</w:t>
      </w:r>
    </w:p>
    <w:p>
      <w:pPr>
        <w:spacing w:after="200" w:line="276" w:lineRule="auto"/>
      </w:pPr>
      <w:r>
        <w:t>(a) &lt;2,500 g at birth</w:t>
      </w:r>
    </w:p>
    <w:p>
      <w:pPr>
        <w:spacing w:after="200" w:line="276" w:lineRule="auto"/>
      </w:pPr>
      <w:r>
        <w:t>(b) &lt;3,000 g</w:t>
      </w:r>
    </w:p>
    <w:p>
      <w:pPr>
        <w:spacing w:after="200" w:line="276" w:lineRule="auto"/>
      </w:pPr>
      <w:r>
        <w:t>(c) &lt;2,000 g</w:t>
      </w:r>
    </w:p>
    <w:p>
      <w:pPr>
        <w:spacing w:after="200" w:line="276" w:lineRule="auto"/>
      </w:pPr>
      <w:r>
        <w:t>(d) &lt;1,500 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&lt;2,500 g at birth</w:t>
      </w:r>
    </w:p>
    <w:p>
      <w:pPr>
        <w:spacing w:after="200" w:line="276" w:lineRule="auto"/>
      </w:pPr>
      <w:r>
        <w:t>🧠 Clinical Rationale: LBW &lt;2.5 kg; VLBW &lt;1.5 kg; ELBW &lt;1 kg — kangaroo care and warmth are essential.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&lt;3,000 g — plausible, but not the single most accurate fact asked</w:t>
      </w:r>
    </w:p>
    <w:p>
      <w:pPr>
        <w:spacing w:after="200" w:line="276" w:lineRule="auto"/>
      </w:pPr>
      <w:r>
        <w:t>C. &lt;2,000 g — plausible, but not the single most accurate fact asked</w:t>
      </w:r>
    </w:p>
    <w:p>
      <w:pPr>
        <w:spacing w:after="200" w:line="276" w:lineRule="auto"/>
      </w:pPr>
      <w:r>
        <w:t>D. &lt;1,500 g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Septic shock is classified as a</w:t>
      </w:r>
    </w:p>
    <w:p>
      <w:pPr>
        <w:spacing w:after="200" w:line="276" w:lineRule="auto"/>
      </w:pPr>
      <w:r>
        <w:t>(a) Hypovolaemic shock</w:t>
      </w:r>
    </w:p>
    <w:p>
      <w:pPr>
        <w:spacing w:after="200" w:line="276" w:lineRule="auto"/>
      </w:pPr>
      <w:r>
        <w:t>(b) Cardiogenic shock</w:t>
      </w:r>
    </w:p>
    <w:p>
      <w:pPr>
        <w:spacing w:after="200" w:line="276" w:lineRule="auto"/>
      </w:pPr>
      <w:r>
        <w:t>(c) Distributive shock (widespread vasodilation)</w:t>
      </w:r>
    </w:p>
    <w:p>
      <w:pPr>
        <w:spacing w:after="200" w:line="276" w:lineRule="auto"/>
      </w:pPr>
      <w:r>
        <w:t>(d) Obstructive shock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Distributive shock (widespread vasodilation)</w:t>
      </w:r>
    </w:p>
    <w:p>
      <w:pPr>
        <w:spacing w:after="200" w:line="276" w:lineRule="auto"/>
      </w:pPr>
      <w:r>
        <w:t>🧠 Clinical Rationale: Sepsis causes vasodilation and capillary leak — distributive with fluid loss.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Hypovolaemic shock — plausible, but not the single most accurate fact asked</w:t>
      </w:r>
    </w:p>
    <w:p>
      <w:pPr>
        <w:spacing w:after="200" w:line="276" w:lineRule="auto"/>
      </w:pPr>
      <w:r>
        <w:t>B. Cardiogenic shock — plausible, but not the single most accurate fact asked</w:t>
      </w:r>
    </w:p>
    <w:p>
      <w:pPr>
        <w:spacing w:after="200" w:line="276" w:lineRule="auto"/>
      </w:pPr>
      <w:r>
        <w:t>D. Obstructive shock — plausible, but not the single most accurate fact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Nursing observations should be documented</w:t>
      </w:r>
    </w:p>
    <w:p>
      <w:pPr>
        <w:spacing w:after="200" w:line="276" w:lineRule="auto"/>
      </w:pPr>
      <w:r>
        <w:t>(a) At the end of the shift from memory</w:t>
      </w:r>
    </w:p>
    <w:p>
      <w:pPr>
        <w:spacing w:after="200" w:line="276" w:lineRule="auto"/>
      </w:pPr>
      <w:r>
        <w:t>(b) Only if abnormal</w:t>
      </w:r>
    </w:p>
    <w:p>
      <w:pPr>
        <w:spacing w:after="200" w:line="276" w:lineRule="auto"/>
      </w:pPr>
      <w:r>
        <w:t>(c) Immediately and objectively at the time of measurement</w:t>
      </w:r>
    </w:p>
    <w:p>
      <w:pPr>
        <w:spacing w:after="200" w:line="276" w:lineRule="auto"/>
      </w:pPr>
      <w:r>
        <w:t>(d) In pencil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Immediately and objectively at the time of measurement</w:t>
      </w:r>
    </w:p>
    <w:p>
      <w:pPr>
        <w:spacing w:after="200" w:line="276" w:lineRule="auto"/>
      </w:pPr>
      <w:r>
        <w:t>🧠 Clinical Rationale: Timely, factual documentation supports continuity and legal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 the end of the shift from memory — would be appropriate in a different situation, not this one</w:t>
      </w:r>
    </w:p>
    <w:p>
      <w:pPr>
        <w:spacing w:after="200" w:line="276" w:lineRule="auto"/>
      </w:pPr>
      <w:r>
        <w:t>B. Only if abnormal — would be appropriate in a different situation, not this one</w:t>
      </w:r>
    </w:p>
    <w:p>
      <w:pPr>
        <w:spacing w:after="200" w:line="276" w:lineRule="auto"/>
      </w:pPr>
      <w:r>
        <w:t>D. In pencil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 the sub-centre level, the frontline health worker is the</w:t>
      </w:r>
    </w:p>
    <w:p>
      <w:pPr>
        <w:spacing w:after="200" w:line="276" w:lineRule="auto"/>
      </w:pPr>
      <w:r>
        <w:t>(a) Medical officer</w:t>
      </w:r>
    </w:p>
    <w:p>
      <w:pPr>
        <w:spacing w:after="200" w:line="276" w:lineRule="auto"/>
      </w:pPr>
      <w:r>
        <w:t>(b) Surgeon</w:t>
      </w:r>
    </w:p>
    <w:p>
      <w:pPr>
        <w:spacing w:after="200" w:line="276" w:lineRule="auto"/>
      </w:pPr>
      <w:r>
        <w:t>(c) Pharmacist</w:t>
      </w:r>
    </w:p>
    <w:p>
      <w:pPr>
        <w:spacing w:after="200" w:line="276" w:lineRule="auto"/>
      </w:pPr>
      <w:r>
        <w:t>(d) ANM (Auxiliary Nurse Midwife)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ANM (Auxiliary Nurse Midwife)</w:t>
      </w:r>
    </w:p>
    <w:p>
      <w:pPr>
        <w:spacing w:after="200" w:line="276" w:lineRule="auto"/>
      </w:pPr>
      <w:r>
        <w:t>🧠 Clinical Rationale: ANM provides maternal-child health and family planning at sub-centres.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Medical officer — plausible, but not the single most accurate fact asked</w:t>
      </w:r>
    </w:p>
    <w:p>
      <w:pPr>
        <w:spacing w:after="200" w:line="276" w:lineRule="auto"/>
      </w:pPr>
      <w:r>
        <w:t>B. Surgeon — plausible, but not the single most accurate fact asked</w:t>
      </w:r>
    </w:p>
    <w:p>
      <w:pPr>
        <w:spacing w:after="200" w:line="276" w:lineRule="auto"/>
      </w:pPr>
      <w:r>
        <w:t>C. Pharmacist — plausible, but not the single most accurate fact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Thyroid storm can be precipitated by</w:t>
      </w:r>
    </w:p>
    <w:p>
      <w:pPr>
        <w:spacing w:after="200" w:line="276" w:lineRule="auto"/>
      </w:pPr>
      <w:r>
        <w:t>(a) Cold exposure</w:t>
      </w:r>
    </w:p>
    <w:p>
      <w:pPr>
        <w:spacing w:after="200" w:line="276" w:lineRule="auto"/>
      </w:pPr>
      <w:r>
        <w:t>(b) A high-fibre diet</w:t>
      </w:r>
    </w:p>
    <w:p>
      <w:pPr>
        <w:spacing w:after="200" w:line="276" w:lineRule="auto"/>
      </w:pPr>
      <w:r>
        <w:t>(c) Sleep</w:t>
      </w:r>
    </w:p>
    <w:p>
      <w:pPr>
        <w:spacing w:after="200" w:line="276" w:lineRule="auto"/>
      </w:pPr>
      <w:r>
        <w:t>(d) Infection, surgery or stopping antithyroid drugs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Infection, surgery or stopping antithyroid drugs</w:t>
      </w:r>
    </w:p>
    <w:p>
      <w:pPr>
        <w:spacing w:after="200" w:line="276" w:lineRule="auto"/>
      </w:pPr>
      <w:r>
        <w:t>🧠 Clinical Rationale: Stresses trigger catecholamine surges — treat with beta-blockers, thionamides, steroids.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Thyroid Crisis - Precipitant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Infection, surgery or stopping antithyroid drugs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Cold exposure — does not match the characteristic feature/management described in the stem</w:t>
      </w:r>
    </w:p>
    <w:p>
      <w:pPr>
        <w:spacing w:after="200" w:line="276" w:lineRule="auto"/>
      </w:pPr>
      <w:r>
        <w:t>B. A high-fibre diet — does not match the characteristic feature/management described in the stem</w:t>
      </w:r>
    </w:p>
    <w:p>
      <w:pPr>
        <w:spacing w:after="200" w:line="276" w:lineRule="auto"/>
      </w:pPr>
      <w:r>
        <w:t>C. Sleep — does not match the characteristic feature/management described in the stem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Urine is tested at each antenatal visit for</w:t>
      </w:r>
    </w:p>
    <w:p>
      <w:pPr>
        <w:spacing w:after="200" w:line="276" w:lineRule="auto"/>
      </w:pPr>
      <w:r>
        <w:t>(a) Only colour</w:t>
      </w:r>
    </w:p>
    <w:p>
      <w:pPr>
        <w:spacing w:after="200" w:line="276" w:lineRule="auto"/>
      </w:pPr>
      <w:r>
        <w:t>(b) Protein and glucose (screen pre-eclampsia and diabetes)</w:t>
      </w:r>
    </w:p>
    <w:p>
      <w:pPr>
        <w:spacing w:after="200" w:line="276" w:lineRule="auto"/>
      </w:pPr>
      <w:r>
        <w:t>(c) Only pH</w:t>
      </w:r>
    </w:p>
    <w:p>
      <w:pPr>
        <w:spacing w:after="200" w:line="276" w:lineRule="auto"/>
      </w:pPr>
      <w:r>
        <w:t>(d) Only volume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Protein and glucose (screen pre-eclampsia and diabetes)</w:t>
      </w:r>
    </w:p>
    <w:p>
      <w:pPr>
        <w:spacing w:after="200" w:line="276" w:lineRule="auto"/>
      </w:pPr>
      <w:r>
        <w:t>🧠 Clinical Rationale: Proteinuria flags pre-eclampsia; glycosuria prompts glucose screening.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colour — would be appropriate in a different situation, not this one</w:t>
      </w:r>
    </w:p>
    <w:p>
      <w:pPr>
        <w:spacing w:after="200" w:line="276" w:lineRule="auto"/>
      </w:pPr>
      <w:r>
        <w:t>C. Only pH — would be appropriate in a different situation, not this one</w:t>
      </w:r>
    </w:p>
    <w:p>
      <w:pPr>
        <w:spacing w:after="200" w:line="276" w:lineRule="auto"/>
      </w:pPr>
      <w:r>
        <w:t>D. Only volume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delusion is</w:t>
      </w:r>
    </w:p>
    <w:p>
      <w:pPr>
        <w:spacing w:after="200" w:line="276" w:lineRule="auto"/>
      </w:pPr>
      <w:r>
        <w:t>(a) A fixed false belief not shared by the culture</w:t>
      </w:r>
    </w:p>
    <w:p>
      <w:pPr>
        <w:spacing w:after="200" w:line="276" w:lineRule="auto"/>
      </w:pPr>
      <w:r>
        <w:t>(b) A hallucination</w:t>
      </w:r>
    </w:p>
    <w:p>
      <w:pPr>
        <w:spacing w:after="200" w:line="276" w:lineRule="auto"/>
      </w:pPr>
      <w:r>
        <w:t>(c) A memory loss</w:t>
      </w:r>
    </w:p>
    <w:p>
      <w:pPr>
        <w:spacing w:after="200" w:line="276" w:lineRule="auto"/>
      </w:pPr>
      <w:r>
        <w:t>(d) A sleep disturbance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fixed false belief not shared by the culture</w:t>
      </w:r>
    </w:p>
    <w:p>
      <w:pPr>
        <w:spacing w:after="200" w:line="276" w:lineRule="auto"/>
      </w:pPr>
      <w:r>
        <w:t>🧠 Clinical Rationale: Delusions persist despite evidence; types include persecutory, grandiose, somatic.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hallucination — plausible, but not the single most accurate fact asked</w:t>
      </w:r>
    </w:p>
    <w:p>
      <w:pPr>
        <w:spacing w:after="200" w:line="276" w:lineRule="auto"/>
      </w:pPr>
      <w:r>
        <w:t>C. A memory loss — plausible, but not the single most accurate fact asked</w:t>
      </w:r>
    </w:p>
    <w:p>
      <w:pPr>
        <w:spacing w:after="200" w:line="276" w:lineRule="auto"/>
      </w:pPr>
      <w:r>
        <w:t>D. A sleep disturbance — plausible, but not the single most accurate fact asked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severe epigastric pain with board-like rigidity suggests</w:t>
      </w:r>
    </w:p>
    <w:p>
      <w:pPr>
        <w:spacing w:after="200" w:line="276" w:lineRule="auto"/>
      </w:pPr>
      <w:r>
        <w:t>(a) Simple gastritis</w:t>
      </w:r>
    </w:p>
    <w:p>
      <w:pPr>
        <w:spacing w:after="200" w:line="276" w:lineRule="auto"/>
      </w:pPr>
      <w:r>
        <w:t>(b) Perforated peptic ulcer</w:t>
      </w:r>
    </w:p>
    <w:p>
      <w:pPr>
        <w:spacing w:after="200" w:line="276" w:lineRule="auto"/>
      </w:pPr>
      <w:r>
        <w:t>(c) Reflux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Perforated peptic ulcer</w:t>
      </w:r>
    </w:p>
    <w:p>
      <w:pPr>
        <w:spacing w:after="200" w:line="276" w:lineRule="auto"/>
      </w:pPr>
      <w:r>
        <w:t>🧠 Clinical Rationale: Perforation causes peritonitis — emergency surgery; NPO and IV fluids.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Rigidity — muscle / upper motor neuron sign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gastritis — does not match the characteristic feature/management described in the stem</w:t>
      </w:r>
    </w:p>
    <w:p>
      <w:pPr>
        <w:spacing w:after="200" w:line="276" w:lineRule="auto"/>
      </w:pPr>
      <w:r>
        <w:t>C. Reflux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Peptic ulcer</w:t>
      </w:r>
    </w:p>
    <w:p>
      <w:pPr>
        <w:spacing w:after="200" w:line="276" w:lineRule="auto"/>
      </w:pPr>
      <w:r>
        <w:t>→ Cause: H. pylori, NSAIDs, smoking, stress</w:t>
      </w:r>
    </w:p>
    <w:p>
      <w:pPr>
        <w:spacing w:after="200" w:line="276" w:lineRule="auto"/>
      </w:pPr>
      <w:r>
        <w:t>→ Triple therapy: PPI + Amoxicillin + Clarithromycin (+ metronidazole alternative)</w:t>
      </w:r>
    </w:p>
    <w:p>
      <w:pPr>
        <w:spacing w:after="200" w:line="276" w:lineRule="auto"/>
      </w:pPr>
      <w:r>
        <w:t>→ Pain relieved by food in duodenal ulcer; worse with food in gastric ulcer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mainstay of bronchiolitis management is</w:t>
      </w:r>
    </w:p>
    <w:p>
      <w:pPr>
        <w:spacing w:after="200" w:line="276" w:lineRule="auto"/>
      </w:pPr>
      <w:r>
        <w:t>(a) Routine antibiotics</w:t>
      </w:r>
    </w:p>
    <w:p>
      <w:pPr>
        <w:spacing w:after="200" w:line="276" w:lineRule="auto"/>
      </w:pPr>
      <w:r>
        <w:t>(b) Routine steroids</w:t>
      </w:r>
    </w:p>
    <w:p>
      <w:pPr>
        <w:spacing w:after="200" w:line="276" w:lineRule="auto"/>
      </w:pPr>
      <w:r>
        <w:t>(c) Chest physiotherapy</w:t>
      </w:r>
    </w:p>
    <w:p>
      <w:pPr>
        <w:spacing w:after="200" w:line="276" w:lineRule="auto"/>
      </w:pPr>
      <w:r>
        <w:t>(d) Oxygen, suction and hydration (supportive care)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Oxygen, suction and hydration (supportive care)</w:t>
      </w:r>
    </w:p>
    <w:p>
      <w:pPr>
        <w:spacing w:after="200" w:line="276" w:lineRule="auto"/>
      </w:pPr>
      <w:r>
        <w:t>🧠 Clinical Rationale: RSV bronchiolitis is self-limiting — support; reserve interventions for severe cases.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antibiotics — would be appropriate in a different situation, not this one</w:t>
      </w:r>
    </w:p>
    <w:p>
      <w:pPr>
        <w:spacing w:after="200" w:line="276" w:lineRule="auto"/>
      </w:pPr>
      <w:r>
        <w:t>B. Routine steroids — would be appropriate in a different situation, not this one</w:t>
      </w:r>
    </w:p>
    <w:p>
      <w:pPr>
        <w:spacing w:after="200" w:line="276" w:lineRule="auto"/>
      </w:pPr>
      <w:r>
        <w:t>C. Chest physiotherapy — would be appropriate in a different situation, not this one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Bronchiolitis</w:t>
      </w:r>
    </w:p>
    <w:p>
      <w:pPr>
        <w:spacing w:after="200" w:line="276" w:lineRule="auto"/>
      </w:pPr>
      <w:r>
        <w:t>→ Cause: RSV; peak in infants &lt; 12 months</w:t>
      </w:r>
    </w:p>
    <w:p>
      <w:pPr>
        <w:spacing w:after="200" w:line="276" w:lineRule="auto"/>
      </w:pPr>
      <w:r>
        <w:t>→ Clues: coryza → cough, wheeze, respiratory distress, poor feeding</w:t>
      </w:r>
    </w:p>
    <w:p>
      <w:pPr>
        <w:spacing w:after="200" w:line="276" w:lineRule="auto"/>
      </w:pPr>
      <w:r>
        <w:t>→ Care: nasal suction, humidified O2, fluids, head-up position, observe for apnoea</w:t>
      </w:r>
    </w:p>
    <w:p>
      <w:pPr>
        <w:spacing w:after="200" w:line="276" w:lineRule="auto"/>
      </w:pPr>
      <w:r>
        <w:t>→ Prevention: hand hygiene, avoid smoke, palivizumab for high-risk infants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cleansing enema is given to</w:t>
      </w:r>
    </w:p>
    <w:p>
      <w:pPr>
        <w:spacing w:after="200" w:line="276" w:lineRule="auto"/>
      </w:pPr>
      <w:r>
        <w:t>(a) Give medication</w:t>
      </w:r>
    </w:p>
    <w:p>
      <w:pPr>
        <w:spacing w:after="200" w:line="276" w:lineRule="auto"/>
      </w:pPr>
      <w:r>
        <w:t>(b) Warm the body</w:t>
      </w:r>
    </w:p>
    <w:p>
      <w:pPr>
        <w:spacing w:after="200" w:line="276" w:lineRule="auto"/>
      </w:pPr>
      <w:r>
        <w:t>(c) Hydrate the colon</w:t>
      </w:r>
    </w:p>
    <w:p>
      <w:pPr>
        <w:spacing w:after="200" w:line="276" w:lineRule="auto"/>
      </w:pPr>
      <w:r>
        <w:t>(d) Remove faeces from the colon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Remove faeces from the colon</w:t>
      </w:r>
    </w:p>
    <w:p>
      <w:pPr>
        <w:spacing w:after="200" w:line="276" w:lineRule="auto"/>
      </w:pPr>
      <w:r>
        <w:t>🧠 Clinical Rationale: Cleansing enemas prepare for surgery/exams or relieve constipation.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medication — plausible, but not the single most accurate fact asked</w:t>
      </w:r>
    </w:p>
    <w:p>
      <w:pPr>
        <w:spacing w:after="200" w:line="276" w:lineRule="auto"/>
      </w:pPr>
      <w:r>
        <w:t>B. Warm the body — plausible, but not the single most accurate fact asked</w:t>
      </w:r>
    </w:p>
    <w:p>
      <w:pPr>
        <w:spacing w:after="200" w:line="276" w:lineRule="auto"/>
      </w:pPr>
      <w:r>
        <w:t>C. Hydrate the colon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Attack rate is most useful during</w:t>
      </w:r>
    </w:p>
    <w:p>
      <w:pPr>
        <w:spacing w:after="200" w:line="276" w:lineRule="auto"/>
      </w:pPr>
      <w:r>
        <w:t>(a) An outbreak to measure exposure and spread</w:t>
      </w:r>
    </w:p>
    <w:p>
      <w:pPr>
        <w:spacing w:after="200" w:line="276" w:lineRule="auto"/>
      </w:pPr>
      <w:r>
        <w:t>(b) Routine screening</w:t>
      </w:r>
    </w:p>
    <w:p>
      <w:pPr>
        <w:spacing w:after="200" w:line="276" w:lineRule="auto"/>
      </w:pPr>
      <w:r>
        <w:t>(c) Chronic disease follow-up</w:t>
      </w:r>
    </w:p>
    <w:p>
      <w:pPr>
        <w:spacing w:after="200" w:line="276" w:lineRule="auto"/>
      </w:pPr>
      <w:r>
        <w:t>(d) Cost analysis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 outbreak to measure exposure and spread</w:t>
      </w:r>
    </w:p>
    <w:p>
      <w:pPr>
        <w:spacing w:after="200" w:line="276" w:lineRule="auto"/>
      </w:pPr>
      <w:r>
        <w:t>🧠 Clinical Rationale: Attack rate quantifies the extent of an outbreak in the exposed population.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Routine screening — would be appropriate in a different situation, not this one</w:t>
      </w:r>
    </w:p>
    <w:p>
      <w:pPr>
        <w:spacing w:after="200" w:line="276" w:lineRule="auto"/>
      </w:pPr>
      <w:r>
        <w:t>C. Chronic disease follow-up — would be appropriate in a different situation, not this one</w:t>
      </w:r>
    </w:p>
    <w:p>
      <w:pPr>
        <w:spacing w:after="200" w:line="276" w:lineRule="auto"/>
      </w:pPr>
      <w:r>
        <w:t>D. Cost analysis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protects an AV fistula by</w:t>
      </w:r>
    </w:p>
    <w:p>
      <w:pPr>
        <w:spacing w:after="200" w:line="276" w:lineRule="auto"/>
      </w:pPr>
      <w:r>
        <w:t>(a) Taking BP on the fistula arm</w:t>
      </w:r>
    </w:p>
    <w:p>
      <w:pPr>
        <w:spacing w:after="200" w:line="276" w:lineRule="auto"/>
      </w:pPr>
      <w:r>
        <w:t>(b) Applying tight dressings</w:t>
      </w:r>
    </w:p>
    <w:p>
      <w:pPr>
        <w:spacing w:after="200" w:line="276" w:lineRule="auto"/>
      </w:pPr>
      <w:r>
        <w:t>(c) Using the other arm for BP/IV and feeling for thrill daily</w:t>
      </w:r>
    </w:p>
    <w:p>
      <w:pPr>
        <w:spacing w:after="200" w:line="276" w:lineRule="auto"/>
      </w:pPr>
      <w:r>
        <w:t>(d) Cannulating it for IV fluids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Using the other arm for BP/IV and feeling for thrill daily</w:t>
      </w:r>
    </w:p>
    <w:p>
      <w:pPr>
        <w:spacing w:after="200" w:line="276" w:lineRule="auto"/>
      </w:pPr>
      <w:r>
        <w:t>🧠 Clinical Rationale: Protect the access — palpate thrill, auscultate bruit, avoid compression.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Taking BP on the fistula arm — would be appropriate in a different situation, not this one</w:t>
      </w:r>
    </w:p>
    <w:p>
      <w:pPr>
        <w:spacing w:after="200" w:line="276" w:lineRule="auto"/>
      </w:pPr>
      <w:r>
        <w:t>B. Applying tight dressings — would be appropriate in a different situation, not this one</w:t>
      </w:r>
    </w:p>
    <w:p>
      <w:pPr>
        <w:spacing w:after="200" w:line="276" w:lineRule="auto"/>
      </w:pPr>
      <w:r>
        <w:t>D. Cannulating it for IV fluids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