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therapeutic milieu provides</w:t>
      </w:r>
    </w:p>
    <w:p>
      <w:pPr>
        <w:spacing w:after="200" w:line="276" w:lineRule="auto"/>
      </w:pPr>
      <w:r>
        <w:t>(a) Punishment</w:t>
      </w:r>
    </w:p>
    <w:p>
      <w:pPr>
        <w:spacing w:after="200" w:line="276" w:lineRule="auto"/>
      </w:pPr>
      <w:r>
        <w:t>(b) Isolation</w:t>
      </w:r>
    </w:p>
    <w:p>
      <w:pPr>
        <w:spacing w:after="200" w:line="276" w:lineRule="auto"/>
      </w:pPr>
      <w:r>
        <w:t>(c) Only medication</w:t>
      </w:r>
    </w:p>
    <w:p>
      <w:pPr>
        <w:spacing w:after="200" w:line="276" w:lineRule="auto"/>
      </w:pPr>
      <w:r>
        <w:t>(d) A structured, safe environment promoting recovery and skills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structured, safe environment promoting recovery and skills</w:t>
      </w:r>
    </w:p>
    <w:p>
      <w:pPr>
        <w:spacing w:after="200" w:line="276" w:lineRule="auto"/>
      </w:pPr>
      <w:r>
        <w:t>🧠 Clinical Rationale: Milieu therapy uses the environment as a therapeutic tool.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Punishment — would be appropriate in a different situation, not this one</w:t>
      </w:r>
    </w:p>
    <w:p>
      <w:pPr>
        <w:spacing w:after="200" w:line="276" w:lineRule="auto"/>
      </w:pPr>
      <w:r>
        <w:t>B. Isolation — would be appropriate in a different situation, not this one</w:t>
      </w:r>
    </w:p>
    <w:p>
      <w:pPr>
        <w:spacing w:after="200" w:line="276" w:lineRule="auto"/>
      </w:pPr>
      <w:r>
        <w:t>C. Only medication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 birth, eye prophylaxis prevents</w:t>
      </w:r>
    </w:p>
    <w:p>
      <w:pPr>
        <w:spacing w:after="200" w:line="276" w:lineRule="auto"/>
      </w:pPr>
      <w:r>
        <w:t>(a) Cataracts</w:t>
      </w:r>
    </w:p>
    <w:p>
      <w:pPr>
        <w:spacing w:after="200" w:line="276" w:lineRule="auto"/>
      </w:pPr>
      <w:r>
        <w:t>(b) Ophthalmia neonatorum (gonococcal conjunctivitis)</w:t>
      </w:r>
    </w:p>
    <w:p>
      <w:pPr>
        <w:spacing w:after="200" w:line="276" w:lineRule="auto"/>
      </w:pPr>
      <w:r>
        <w:t>(c) Glaucoma</w:t>
      </w:r>
    </w:p>
    <w:p>
      <w:pPr>
        <w:spacing w:after="200" w:line="276" w:lineRule="auto"/>
      </w:pPr>
      <w:r>
        <w:t>(d) Strabismus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Ophthalmia neonatorum (gonococcal conjunctivitis)</w:t>
      </w:r>
    </w:p>
    <w:p>
      <w:pPr>
        <w:spacing w:after="200" w:line="276" w:lineRule="auto"/>
      </w:pPr>
      <w:r>
        <w:t>🧠 Clinical Rationale: Erythromycin/tetracycline ointment or silver nitrate prevents neonatal eye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Cataracts — plausible, but not the single most accurate fact asked</w:t>
      </w:r>
    </w:p>
    <w:p>
      <w:pPr>
        <w:spacing w:after="200" w:line="276" w:lineRule="auto"/>
      </w:pPr>
      <w:r>
        <w:t>C. Glaucoma — plausible, but not the single most accurate fact asked</w:t>
      </w:r>
    </w:p>
    <w:p>
      <w:pPr>
        <w:spacing w:after="200" w:line="276" w:lineRule="auto"/>
      </w:pPr>
      <w:r>
        <w:t>D. Strabismus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feeding via a gastrostomy tube, the nurse should</w:t>
      </w:r>
    </w:p>
    <w:p>
      <w:pPr>
        <w:spacing w:after="200" w:line="276" w:lineRule="auto"/>
      </w:pPr>
      <w:r>
        <w:t>(a) Feed lying flat</w:t>
      </w:r>
    </w:p>
    <w:p>
      <w:pPr>
        <w:spacing w:after="200" w:line="276" w:lineRule="auto"/>
      </w:pPr>
      <w:r>
        <w:t>(b) Flush only after</w:t>
      </w:r>
    </w:p>
    <w:p>
      <w:pPr>
        <w:spacing w:after="200" w:line="276" w:lineRule="auto"/>
      </w:pPr>
      <w:r>
        <w:t>(c) Give cold formula</w:t>
      </w:r>
    </w:p>
    <w:p>
      <w:pPr>
        <w:spacing w:after="200" w:line="276" w:lineRule="auto"/>
      </w:pPr>
      <w:r>
        <w:t>(d) Check placement, elevate the head and flush before/after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Check placement, elevate the head and flush before/after</w:t>
      </w:r>
    </w:p>
    <w:p>
      <w:pPr>
        <w:spacing w:after="200" w:line="276" w:lineRule="auto"/>
      </w:pPr>
      <w:r>
        <w:t>🧠 Clinical Rationale: Head elevation, patency check and flushing prevent aspiration and blockage.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Feed lying flat — would be appropriate in a different situation, not this one</w:t>
      </w:r>
    </w:p>
    <w:p>
      <w:pPr>
        <w:spacing w:after="200" w:line="276" w:lineRule="auto"/>
      </w:pPr>
      <w:r>
        <w:t>B. Flush only after — would be appropriate in a different situation, not this one</w:t>
      </w:r>
    </w:p>
    <w:p>
      <w:pPr>
        <w:spacing w:after="200" w:line="276" w:lineRule="auto"/>
      </w:pPr>
      <w:r>
        <w:t>C. Give cold formula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pressure-relieving support surface is used to</w:t>
      </w:r>
    </w:p>
    <w:p>
      <w:pPr>
        <w:spacing w:after="200" w:line="276" w:lineRule="auto"/>
      </w:pPr>
      <w:r>
        <w:t>(a) Redistribute pressure and prevent tissue injury</w:t>
      </w:r>
    </w:p>
    <w:p>
      <w:pPr>
        <w:spacing w:after="200" w:line="276" w:lineRule="auto"/>
      </w:pPr>
      <w:r>
        <w:t>(b) Replace turning</w:t>
      </w:r>
    </w:p>
    <w:p>
      <w:pPr>
        <w:spacing w:after="200" w:line="276" w:lineRule="auto"/>
      </w:pPr>
      <w:r>
        <w:t>(c) Increase friction</w:t>
      </w:r>
    </w:p>
    <w:p>
      <w:pPr>
        <w:spacing w:after="200" w:line="276" w:lineRule="auto"/>
      </w:pPr>
      <w:r>
        <w:t>(d) Moisten the skin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Redistribute pressure and prevent tissue injury</w:t>
      </w:r>
    </w:p>
    <w:p>
      <w:pPr>
        <w:spacing w:after="200" w:line="276" w:lineRule="auto"/>
      </w:pPr>
      <w:r>
        <w:t>🧠 Clinical Rationale: Special mattresses/cushions reduce interface pressure — still turn regularly.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Replace turning — would be appropriate in a different situation, not this one</w:t>
      </w:r>
    </w:p>
    <w:p>
      <w:pPr>
        <w:spacing w:after="200" w:line="276" w:lineRule="auto"/>
      </w:pPr>
      <w:r>
        <w:t>C. Increase friction — would be appropriate in a different situation, not this one</w:t>
      </w:r>
    </w:p>
    <w:p>
      <w:pPr>
        <w:spacing w:after="200" w:line="276" w:lineRule="auto"/>
      </w:pPr>
      <w:r>
        <w:t>D. Moisten the skin — would be appropriate in a different situation, not this one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referral pathway in the public system is</w:t>
      </w:r>
    </w:p>
    <w:p>
      <w:pPr>
        <w:spacing w:after="200" w:line="276" w:lineRule="auto"/>
      </w:pPr>
      <w:r>
        <w:t>(a) CHC → Sub-centre</w:t>
      </w:r>
    </w:p>
    <w:p>
      <w:pPr>
        <w:spacing w:after="200" w:line="276" w:lineRule="auto"/>
      </w:pPr>
      <w:r>
        <w:t>(b) PHC → Sub-centre</w:t>
      </w:r>
    </w:p>
    <w:p>
      <w:pPr>
        <w:spacing w:after="200" w:line="276" w:lineRule="auto"/>
      </w:pPr>
      <w:r>
        <w:t>(c) District → CHC → PHC</w:t>
      </w:r>
    </w:p>
    <w:p>
      <w:pPr>
        <w:spacing w:after="200" w:line="276" w:lineRule="auto"/>
      </w:pPr>
      <w:r>
        <w:t>(d) Sub-centre → PHC → CHC → District hospital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Sub-centre → PHC → CHC → District hospital</w:t>
      </w:r>
    </w:p>
    <w:p>
      <w:pPr>
        <w:spacing w:after="200" w:line="276" w:lineRule="auto"/>
      </w:pPr>
      <w:r>
        <w:t>🧠 Clinical Rationale: Primary (sub-centre/PHC) refers upward to secondary/tertiary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CHC → Sub-centre — plausible, but not the single most accurate fact asked</w:t>
      </w:r>
    </w:p>
    <w:p>
      <w:pPr>
        <w:spacing w:after="200" w:line="276" w:lineRule="auto"/>
      </w:pPr>
      <w:r>
        <w:t>B. PHC → Sub-centre — plausible, but not the single most accurate fact asked</w:t>
      </w:r>
    </w:p>
    <w:p>
      <w:pPr>
        <w:spacing w:after="200" w:line="276" w:lineRule="auto"/>
      </w:pPr>
      <w:r>
        <w:t>C. District → CHC → PHC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paracentesis, the nurse monitors for</w:t>
      </w:r>
    </w:p>
    <w:p>
      <w:pPr>
        <w:spacing w:after="200" w:line="276" w:lineRule="auto"/>
      </w:pPr>
      <w:r>
        <w:t>(a) Hyperglycaemia</w:t>
      </w:r>
    </w:p>
    <w:p>
      <w:pPr>
        <w:spacing w:after="200" w:line="276" w:lineRule="auto"/>
      </w:pPr>
      <w:r>
        <w:t>(b) Rash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Hypotension, bleeding and signs of infection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Hypotension, bleeding and signs of infection</w:t>
      </w:r>
    </w:p>
    <w:p>
      <w:pPr>
        <w:spacing w:after="200" w:line="276" w:lineRule="auto"/>
      </w:pPr>
      <w:r>
        <w:t>🧠 Clinical Rationale: Large-volume taps risk circulatory compromise — albumin may be given.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Hyperglycaemia — would be appropriate in a different situation, not this one</w:t>
      </w:r>
    </w:p>
    <w:p>
      <w:pPr>
        <w:spacing w:after="200" w:line="276" w:lineRule="auto"/>
      </w:pPr>
      <w:r>
        <w:t>B. Rash — would be appropriate in a different situation, not this one</w:t>
      </w:r>
    </w:p>
    <w:p>
      <w:pPr>
        <w:spacing w:after="200" w:line="276" w:lineRule="auto"/>
      </w:pPr>
      <w:r>
        <w:t>C.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mastitis, advise</w:t>
      </w:r>
    </w:p>
    <w:p>
      <w:pPr>
        <w:spacing w:after="200" w:line="276" w:lineRule="auto"/>
      </w:pPr>
      <w:r>
        <w:t>(a) Long gaps between feeds</w:t>
      </w:r>
    </w:p>
    <w:p>
      <w:pPr>
        <w:spacing w:after="200" w:line="276" w:lineRule="auto"/>
      </w:pPr>
      <w:r>
        <w:t>(b) Frequent feeding, correct latch and emptying the breast</w:t>
      </w:r>
    </w:p>
    <w:p>
      <w:pPr>
        <w:spacing w:after="200" w:line="276" w:lineRule="auto"/>
      </w:pPr>
      <w:r>
        <w:t>(c) Wearing tight bras</w:t>
      </w:r>
    </w:p>
    <w:p>
      <w:pPr>
        <w:spacing w:after="200" w:line="276" w:lineRule="auto"/>
      </w:pPr>
      <w:r>
        <w:t>(d) Stopping breastfeeding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Frequent feeding, correct latch and emptying the breast</w:t>
      </w:r>
    </w:p>
    <w:p>
      <w:pPr>
        <w:spacing w:after="200" w:line="276" w:lineRule="auto"/>
      </w:pPr>
      <w:r>
        <w:t>🧠 Clinical Rationale: Emptying the breast and good latch prevent engorgement and mastitis.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 gaps between feeds — would be appropriate in a different situation, not this one</w:t>
      </w:r>
    </w:p>
    <w:p>
      <w:pPr>
        <w:spacing w:after="200" w:line="276" w:lineRule="auto"/>
      </w:pPr>
      <w:r>
        <w:t>C. Wearing tight bras — would be appropriate in a different situation, not this one</w:t>
      </w:r>
    </w:p>
    <w:p>
      <w:pPr>
        <w:spacing w:after="200" w:line="276" w:lineRule="auto"/>
      </w:pPr>
      <w:r>
        <w:t>D. Stopping breastfeeding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Panic disorder involves</w:t>
      </w:r>
    </w:p>
    <w:p>
      <w:pPr>
        <w:spacing w:after="200" w:line="276" w:lineRule="auto"/>
      </w:pPr>
      <w:r>
        <w:t>(a) Recurrent unexpected panic attacks with worry about future attacks</w:t>
      </w:r>
    </w:p>
    <w:p>
      <w:pPr>
        <w:spacing w:after="200" w:line="276" w:lineRule="auto"/>
      </w:pPr>
      <w:r>
        <w:t>(b) Only situational anxiety</w:t>
      </w:r>
    </w:p>
    <w:p>
      <w:pPr>
        <w:spacing w:after="200" w:line="276" w:lineRule="auto"/>
      </w:pPr>
      <w:r>
        <w:t>(c) Chronic worry only</w:t>
      </w:r>
    </w:p>
    <w:p>
      <w:pPr>
        <w:spacing w:after="200" w:line="276" w:lineRule="auto"/>
      </w:pPr>
      <w:r>
        <w:t>(d) Social avoidance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Recurrent unexpected panic attacks with worry about future attacks</w:t>
      </w:r>
    </w:p>
    <w:p>
      <w:pPr>
        <w:spacing w:after="200" w:line="276" w:lineRule="auto"/>
      </w:pPr>
      <w:r>
        <w:t>🧠 Clinical Rationale: Panic disorder = unexpected attacks + anticipatory anxiety; treat with CBT/SSRIs.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situational anxiety — plausible, but not the single most accurate fact asked</w:t>
      </w:r>
    </w:p>
    <w:p>
      <w:pPr>
        <w:spacing w:after="200" w:line="276" w:lineRule="auto"/>
      </w:pPr>
      <w:r>
        <w:t>C. Chronic worry only — plausible, but not the single most accurate fact asked</w:t>
      </w:r>
    </w:p>
    <w:p>
      <w:pPr>
        <w:spacing w:after="200" w:line="276" w:lineRule="auto"/>
      </w:pPr>
      <w:r>
        <w:t>D. Social avoidance only — plausible, but not the single most accurate fact asked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growth standards are used to</w:t>
      </w:r>
    </w:p>
    <w:p>
      <w:pPr>
        <w:spacing w:after="200" w:line="276" w:lineRule="auto"/>
      </w:pPr>
      <w:r>
        <w:t>(a) Compare siblings</w:t>
      </w:r>
    </w:p>
    <w:p>
      <w:pPr>
        <w:spacing w:after="200" w:line="276" w:lineRule="auto"/>
      </w:pPr>
      <w:r>
        <w:t>(b) Predict IQ</w:t>
      </w:r>
    </w:p>
    <w:p>
      <w:pPr>
        <w:spacing w:after="200" w:line="276" w:lineRule="auto"/>
      </w:pPr>
      <w:r>
        <w:t>(c) Assess growth against an international healthy reference</w:t>
      </w:r>
    </w:p>
    <w:p>
      <w:pPr>
        <w:spacing w:after="200" w:line="276" w:lineRule="auto"/>
      </w:pPr>
      <w:r>
        <w:t>(d) Diagnose infections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Assess growth against an international healthy reference</w:t>
      </w:r>
    </w:p>
    <w:p>
      <w:pPr>
        <w:spacing w:after="200" w:line="276" w:lineRule="auto"/>
      </w:pPr>
      <w:r>
        <w:t>🧠 Clinical Rationale: WHO standards show how children should grow under optimal conditions.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Compare siblings — would be appropriate in a different situation, not this one</w:t>
      </w:r>
    </w:p>
    <w:p>
      <w:pPr>
        <w:spacing w:after="200" w:line="276" w:lineRule="auto"/>
      </w:pPr>
      <w:r>
        <w:t>B. Predict IQ — would be appropriate in a different situation, not this one</w:t>
      </w:r>
    </w:p>
    <w:p>
      <w:pPr>
        <w:spacing w:after="200" w:line="276" w:lineRule="auto"/>
      </w:pPr>
      <w:r>
        <w:t>D. Diagnose infections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uraemic pruritus, the nurse advises</w:t>
      </w:r>
    </w:p>
    <w:p>
      <w:pPr>
        <w:spacing w:after="200" w:line="276" w:lineRule="auto"/>
      </w:pPr>
      <w:r>
        <w:t>(a) Hot showers</w:t>
      </w:r>
    </w:p>
    <w:p>
      <w:pPr>
        <w:spacing w:after="200" w:line="276" w:lineRule="auto"/>
      </w:pPr>
      <w:r>
        <w:t>(b) Moisturisers, cool baths and avoiding harsh soaps (treat underlying cause)</w:t>
      </w:r>
    </w:p>
    <w:p>
      <w:pPr>
        <w:spacing w:after="200" w:line="276" w:lineRule="auto"/>
      </w:pPr>
      <w:r>
        <w:t>(c) Scratching</w:t>
      </w:r>
    </w:p>
    <w:p>
      <w:pPr>
        <w:spacing w:after="200" w:line="276" w:lineRule="auto"/>
      </w:pPr>
      <w:r>
        <w:t>(d) Dry skin rubbing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Moisturisers, cool baths and avoiding harsh soaps (treat underlying cause)</w:t>
      </w:r>
    </w:p>
    <w:p>
      <w:pPr>
        <w:spacing w:after="200" w:line="276" w:lineRule="auto"/>
      </w:pPr>
      <w:r>
        <w:t>🧠 Clinical Rationale: Skin care plus dialysis adequacy and phosphate control reduce itching.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Hot showers — would be appropriate in a different situation, not this one</w:t>
      </w:r>
    </w:p>
    <w:p>
      <w:pPr>
        <w:spacing w:after="200" w:line="276" w:lineRule="auto"/>
      </w:pPr>
      <w:r>
        <w:t>C. Scratching — would be appropriate in a different situation, not this one</w:t>
      </w:r>
    </w:p>
    <w:p>
      <w:pPr>
        <w:spacing w:after="200" w:line="276" w:lineRule="auto"/>
      </w:pPr>
      <w:r>
        <w:t>D. Dry skin rubbing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example of breaking the infection chain at the transmission link is</w:t>
      </w:r>
    </w:p>
    <w:p>
      <w:pPr>
        <w:spacing w:after="200" w:line="276" w:lineRule="auto"/>
      </w:pPr>
      <w:r>
        <w:t>(a) Immunisation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Isolation of everyone</w:t>
      </w:r>
    </w:p>
    <w:p>
      <w:pPr>
        <w:spacing w:after="200" w:line="276" w:lineRule="auto"/>
      </w:pPr>
      <w:r>
        <w:t>(d) Hand hygiene and barrier precautions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Hand hygiene and barrier precautions</w:t>
      </w:r>
    </w:p>
    <w:p>
      <w:pPr>
        <w:spacing w:after="200" w:line="276" w:lineRule="auto"/>
      </w:pPr>
      <w:r>
        <w:t>🧠 Clinical Rationale: Interrupt transmission with hygiene, PPE and environmental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Immunisation — would be appropriate in a different situation, not this one</w:t>
      </w:r>
    </w:p>
    <w:p>
      <w:pPr>
        <w:spacing w:after="200" w:line="276" w:lineRule="auto"/>
      </w:pPr>
      <w:r>
        <w:t>B. Antibiotics — would be appropriate in a different situation, not this one</w:t>
      </w:r>
    </w:p>
    <w:p>
      <w:pPr>
        <w:spacing w:after="200" w:line="276" w:lineRule="auto"/>
      </w:pPr>
      <w:r>
        <w:t>C. Isolation of everyone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DPT vaccine protects against</w:t>
      </w:r>
    </w:p>
    <w:p>
      <w:pPr>
        <w:spacing w:after="200" w:line="276" w:lineRule="auto"/>
      </w:pPr>
      <w:r>
        <w:t>(a) Diphtheria, pertussis and tetanus</w:t>
      </w:r>
    </w:p>
    <w:p>
      <w:pPr>
        <w:spacing w:after="200" w:line="276" w:lineRule="auto"/>
      </w:pPr>
      <w:r>
        <w:t>(b) Poliomyelitis</w:t>
      </w:r>
    </w:p>
    <w:p>
      <w:pPr>
        <w:spacing w:after="200" w:line="276" w:lineRule="auto"/>
      </w:pPr>
      <w:r>
        <w:t>(c) Measles</w:t>
      </w:r>
    </w:p>
    <w:p>
      <w:pPr>
        <w:spacing w:after="200" w:line="276" w:lineRule="auto"/>
      </w:pPr>
      <w:r>
        <w:t>(d) Hepatitis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Diphtheria, pertussis and tetanus</w:t>
      </w:r>
    </w:p>
    <w:p>
      <w:pPr>
        <w:spacing w:after="200" w:line="276" w:lineRule="auto"/>
      </w:pPr>
      <w:r>
        <w:t>🧠 Clinical Rationale: DPT covers three diseases; given at 6, 10, 14 weeks with boosters.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Poliomyelitis — plausible, but not the single most accurate fact asked</w:t>
      </w:r>
    </w:p>
    <w:p>
      <w:pPr>
        <w:spacing w:after="200" w:line="276" w:lineRule="auto"/>
      </w:pPr>
      <w:r>
        <w:t>C. Measles — plausible, but not the single most accurate fact asked</w:t>
      </w:r>
    </w:p>
    <w:p>
      <w:pPr>
        <w:spacing w:after="200" w:line="276" w:lineRule="auto"/>
      </w:pPr>
      <w:r>
        <w:t>D. Hepatitis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Nuchal rigidity in meningitis is assessed by</w:t>
      </w:r>
    </w:p>
    <w:p>
      <w:pPr>
        <w:spacing w:after="200" w:line="276" w:lineRule="auto"/>
      </w:pPr>
      <w:r>
        <w:t>(a) Neck extension only</w:t>
      </w:r>
    </w:p>
    <w:p>
      <w:pPr>
        <w:spacing w:after="200" w:line="276" w:lineRule="auto"/>
      </w:pPr>
      <w:r>
        <w:t>(b) Lateral neck turning</w:t>
      </w:r>
    </w:p>
    <w:p>
      <w:pPr>
        <w:spacing w:after="200" w:line="276" w:lineRule="auto"/>
      </w:pPr>
      <w:r>
        <w:t>(c) Resistance to passive neck flexion</w:t>
      </w:r>
    </w:p>
    <w:p>
      <w:pPr>
        <w:spacing w:after="200" w:line="276" w:lineRule="auto"/>
      </w:pPr>
      <w:r>
        <w:t>(d) Shoulder shrug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Resistance to passive neck flexion</w:t>
      </w:r>
    </w:p>
    <w:p>
      <w:pPr>
        <w:spacing w:after="200" w:line="276" w:lineRule="auto"/>
      </w:pPr>
      <w:r>
        <w:t>🧠 Clinical Rationale: Meningeal irritation causes neck stiffness on flexion — part of the clinical triad.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Rigidity — muscle / upper motor neuron sign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Neck extension only — does not match the characteristic feature/management described in the stem</w:t>
      </w:r>
    </w:p>
    <w:p>
      <w:pPr>
        <w:spacing w:after="200" w:line="276" w:lineRule="auto"/>
      </w:pPr>
      <w:r>
        <w:t>B. Lateral neck turning — does not match the characteristic feature/management described in the stem</w:t>
      </w:r>
    </w:p>
    <w:p>
      <w:pPr>
        <w:spacing w:after="200" w:line="276" w:lineRule="auto"/>
      </w:pPr>
      <w:r>
        <w:t>D. Shoulder shrug — does not match the characteristic feature/management described in the stem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Family planning counselling should be</w:t>
      </w:r>
    </w:p>
    <w:p>
      <w:pPr>
        <w:spacing w:after="200" w:line="276" w:lineRule="auto"/>
      </w:pPr>
      <w:r>
        <w:t>(a) Mandatory and coercive</w:t>
      </w:r>
    </w:p>
    <w:p>
      <w:pPr>
        <w:spacing w:after="200" w:line="276" w:lineRule="auto"/>
      </w:pPr>
      <w:r>
        <w:t>(b) Individualised, informed and voluntary</w:t>
      </w:r>
    </w:p>
    <w:p>
      <w:pPr>
        <w:spacing w:after="200" w:line="276" w:lineRule="auto"/>
      </w:pPr>
      <w:r>
        <w:t>(c) One-time only</w:t>
      </w:r>
    </w:p>
    <w:p>
      <w:pPr>
        <w:spacing w:after="200" w:line="276" w:lineRule="auto"/>
      </w:pPr>
      <w:r>
        <w:t>(d) Age-restricted without choice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Individualised, informed and voluntary</w:t>
      </w:r>
    </w:p>
    <w:p>
      <w:pPr>
        <w:spacing w:after="200" w:line="276" w:lineRule="auto"/>
      </w:pPr>
      <w:r>
        <w:t>🧠 Clinical Rationale: Voluntary informed choice respects reproductive rights and improves uptake.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Mandatory and coercive — would be appropriate in a different situation, not this one</w:t>
      </w:r>
    </w:p>
    <w:p>
      <w:pPr>
        <w:spacing w:after="200" w:line="276" w:lineRule="auto"/>
      </w:pPr>
      <w:r>
        <w:t>C. One-time only — would be appropriate in a different situation, not this one</w:t>
      </w:r>
    </w:p>
    <w:p>
      <w:pPr>
        <w:spacing w:after="200" w:line="276" w:lineRule="auto"/>
      </w:pPr>
      <w:r>
        <w:t>D. Age-restricted without choice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Depression in the elderly often presents with</w:t>
      </w:r>
    </w:p>
    <w:p>
      <w:pPr>
        <w:spacing w:after="200" w:line="276" w:lineRule="auto"/>
      </w:pPr>
      <w:r>
        <w:t>(a) Euphoria</w:t>
      </w:r>
    </w:p>
    <w:p>
      <w:pPr>
        <w:spacing w:after="200" w:line="276" w:lineRule="auto"/>
      </w:pPr>
      <w:r>
        <w:t>(b) Hyperactivity</w:t>
      </w:r>
    </w:p>
    <w:p>
      <w:pPr>
        <w:spacing w:after="200" w:line="276" w:lineRule="auto"/>
      </w:pPr>
      <w:r>
        <w:t>(c) Somatic complaints, memory complaints and withdrawal</w:t>
      </w:r>
    </w:p>
    <w:p>
      <w:pPr>
        <w:spacing w:after="200" w:line="276" w:lineRule="auto"/>
      </w:pPr>
      <w:r>
        <w:t>(d) New interests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Somatic complaints, memory complaints and withdrawal</w:t>
      </w:r>
    </w:p>
    <w:p>
      <w:pPr>
        <w:spacing w:after="200" w:line="276" w:lineRule="auto"/>
      </w:pPr>
      <w:r>
        <w:t>🧠 Clinical Rationale: Atypical presentation (somatic, cognitive) delays diagnosis in elders — screen.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— would be appropriate in a different situation, not this one</w:t>
      </w:r>
    </w:p>
    <w:p>
      <w:pPr>
        <w:spacing w:after="200" w:line="276" w:lineRule="auto"/>
      </w:pPr>
      <w:r>
        <w:t>B. Hyperactivity — would be appropriate in a different situation, not this one</w:t>
      </w:r>
    </w:p>
    <w:p>
      <w:pPr>
        <w:spacing w:after="200" w:line="276" w:lineRule="auto"/>
      </w:pPr>
      <w:r>
        <w:t>D. New interests — would be appropriate in a different situation, not this one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children over 12 months, the preferred IM site is the</w:t>
      </w:r>
    </w:p>
    <w:p>
      <w:pPr>
        <w:spacing w:after="200" w:line="276" w:lineRule="auto"/>
      </w:pPr>
      <w:r>
        <w:t>(a) Deltoid (for volumes ≤0.5-1 mL) or vastus lateralis</w:t>
      </w:r>
    </w:p>
    <w:p>
      <w:pPr>
        <w:spacing w:after="200" w:line="276" w:lineRule="auto"/>
      </w:pPr>
      <w:r>
        <w:t>(b) Gluteal region always</w:t>
      </w:r>
    </w:p>
    <w:p>
      <w:pPr>
        <w:spacing w:after="200" w:line="276" w:lineRule="auto"/>
      </w:pPr>
      <w:r>
        <w:t>(c) Subcutaneous abdomen</w:t>
      </w:r>
    </w:p>
    <w:p>
      <w:pPr>
        <w:spacing w:after="200" w:line="276" w:lineRule="auto"/>
      </w:pPr>
      <w:r>
        <w:t>(d) Dorsogluteal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Deltoid (for volumes ≤0.5-1 mL) or vastus lateralis</w:t>
      </w:r>
    </w:p>
    <w:p>
      <w:pPr>
        <w:spacing w:after="200" w:line="276" w:lineRule="auto"/>
      </w:pPr>
      <w:r>
        <w:t>🧠 Clinical Rationale: Deltoid and vastus lateralis avoid sciatic nerve injury — gluteal is avoided.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12 months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Gluteal region always — would be appropriate in a different situation, not this one</w:t>
      </w:r>
    </w:p>
    <w:p>
      <w:pPr>
        <w:spacing w:after="200" w:line="276" w:lineRule="auto"/>
      </w:pPr>
      <w:r>
        <w:t>C. Subcutaneous abdomen — would be appropriate in a different situation, not this one</w:t>
      </w:r>
    </w:p>
    <w:p>
      <w:pPr>
        <w:spacing w:after="200" w:line="276" w:lineRule="auto"/>
      </w:pPr>
      <w:r>
        <w:t>D. Dorsogluteal — would be appropriate in a different situation, not this one</w:t>
      </w:r>
    </w:p>
    <w:p>
      <w:pPr>
        <w:spacing w:after="200" w:line="276" w:lineRule="auto"/>
      </w:pPr>
      <w:r>
        <w:t>⚠️ Exam Trap: Injection site for infants: vastus lateralis — never dorsogluteal in young children (sciatic nerve injury risk).</w:t>
      </w:r>
    </w:p>
    <w:p>
      <w:pPr>
        <w:spacing w:after="200" w:line="276" w:lineRule="auto"/>
      </w:pPr>
      <w:r>
        <w:t>💎 PNC Pearl: Vastus lateralis is the safest IM site in infants &lt; 2 years — the gluteal muscles are not fully developed.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 injection sites</w:t>
      </w:r>
    </w:p>
    <w:p>
      <w:pPr>
        <w:spacing w:after="200" w:line="276" w:lineRule="auto"/>
      </w:pPr>
      <w:r>
        <w:t>→ Infants &lt; 2 years: vastus lateralis (safest)</w:t>
      </w:r>
    </w:p>
    <w:p>
      <w:pPr>
        <w:spacing w:after="200" w:line="276" w:lineRule="auto"/>
      </w:pPr>
      <w:r>
        <w:t>→ Adults: deltoid (small volumes), ventrogluteal preferred, dorsogluteal (avoid - sciatic nerve)</w:t>
      </w:r>
    </w:p>
    <w:p>
      <w:pPr>
        <w:spacing w:after="200" w:line="276" w:lineRule="auto"/>
      </w:pPr>
      <w:r>
        <w:t>→ Z-track technique for irritating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signs of hyponatraemia include</w:t>
      </w:r>
    </w:p>
    <w:p>
      <w:pPr>
        <w:spacing w:after="200" w:line="276" w:lineRule="auto"/>
      </w:pPr>
      <w:r>
        <w:t>(a) Tetanus</w:t>
      </w:r>
    </w:p>
    <w:p>
      <w:pPr>
        <w:spacing w:after="200" w:line="276" w:lineRule="auto"/>
      </w:pPr>
      <w:r>
        <w:t>(b) Polyuria</w:t>
      </w:r>
    </w:p>
    <w:p>
      <w:pPr>
        <w:spacing w:after="200" w:line="276" w:lineRule="auto"/>
      </w:pPr>
      <w:r>
        <w:t>(c) Headache, nausea, confusion and muscle cramps</w:t>
      </w:r>
    </w:p>
    <w:p>
      <w:pPr>
        <w:spacing w:after="200" w:line="276" w:lineRule="auto"/>
      </w:pPr>
      <w:r>
        <w:t>(d) Oedema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Headache, nausea, confusion and muscle cramps</w:t>
      </w:r>
    </w:p>
    <w:p>
      <w:pPr>
        <w:spacing w:after="200" w:line="276" w:lineRule="auto"/>
      </w:pPr>
      <w:r>
        <w:t>🧠 Clinical Rationale: Low sodium causes cerebral oedema — correct slowly to prevent demyelination.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Tetanus — does not match the characteristic feature/management described in the stem</w:t>
      </w:r>
    </w:p>
    <w:p>
      <w:pPr>
        <w:spacing w:after="200" w:line="276" w:lineRule="auto"/>
      </w:pPr>
      <w:r>
        <w:t>B. Polyuria — does not match the characteristic feature/management described in the stem</w:t>
      </w:r>
    </w:p>
    <w:p>
      <w:pPr>
        <w:spacing w:after="200" w:line="276" w:lineRule="auto"/>
      </w:pPr>
      <w:r>
        <w:t>D. Oedema — does not match the characteristic feature/management described in the stem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assisting a patient to walk, the nurse should</w:t>
      </w:r>
    </w:p>
    <w:p>
      <w:pPr>
        <w:spacing w:after="200" w:line="276" w:lineRule="auto"/>
      </w:pPr>
      <w:r>
        <w:t>(a) Walk slightly behind and to the side, holding the gait belt</w:t>
      </w:r>
    </w:p>
    <w:p>
      <w:pPr>
        <w:spacing w:after="200" w:line="276" w:lineRule="auto"/>
      </w:pPr>
      <w:r>
        <w:t>(b) Walk far ahead</w:t>
      </w:r>
    </w:p>
    <w:p>
      <w:pPr>
        <w:spacing w:after="200" w:line="276" w:lineRule="auto"/>
      </w:pPr>
      <w:r>
        <w:t>(c) Hold only the patient's hand</w:t>
      </w:r>
    </w:p>
    <w:p>
      <w:pPr>
        <w:spacing w:after="200" w:line="276" w:lineRule="auto"/>
      </w:pPr>
      <w:r>
        <w:t>(d) Let the patient walk alone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Walk slightly behind and to the side, holding the gait belt</w:t>
      </w:r>
    </w:p>
    <w:p>
      <w:pPr>
        <w:spacing w:after="200" w:line="276" w:lineRule="auto"/>
      </w:pPr>
      <w:r>
        <w:t>🧠 Clinical Rationale: A gait belt and side-behind positioning allow support and fall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Walk far ahead — would be appropriate in a different situation, not this one</w:t>
      </w:r>
    </w:p>
    <w:p>
      <w:pPr>
        <w:spacing w:after="200" w:line="276" w:lineRule="auto"/>
      </w:pPr>
      <w:r>
        <w:t>C. Hold only the patient's hand — would be appropriate in a different situation, not this one</w:t>
      </w:r>
    </w:p>
    <w:p>
      <w:pPr>
        <w:spacing w:after="200" w:line="276" w:lineRule="auto"/>
      </w:pPr>
      <w:r>
        <w:t>D. Let the patient walk alone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osteomyelitis is treated with</w:t>
      </w:r>
    </w:p>
    <w:p>
      <w:pPr>
        <w:spacing w:after="200" w:line="276" w:lineRule="auto"/>
      </w:pPr>
      <w:r>
        <w:t>(a) Oral antibiotics for 3 days</w:t>
      </w:r>
    </w:p>
    <w:p>
      <w:pPr>
        <w:spacing w:after="200" w:line="276" w:lineRule="auto"/>
      </w:pPr>
      <w:r>
        <w:t>(b) Prolonged IV antibiotics (4-6 weeks) plus possible surgical debridement</w:t>
      </w:r>
    </w:p>
    <w:p>
      <w:pPr>
        <w:spacing w:after="200" w:line="276" w:lineRule="auto"/>
      </w:pPr>
      <w:r>
        <w:t>(c) Topical creams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Prolonged IV antibiotics (4-6 weeks) plus possible surgical debridement</w:t>
      </w:r>
    </w:p>
    <w:p>
      <w:pPr>
        <w:spacing w:after="200" w:line="276" w:lineRule="auto"/>
      </w:pPr>
      <w:r>
        <w:t>🧠 Clinical Rationale: Bone infection needs weeks of antibiotics and source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antibiotics for 3 days — would be appropriate in a different situation, not this one</w:t>
      </w:r>
    </w:p>
    <w:p>
      <w:pPr>
        <w:spacing w:after="200" w:line="276" w:lineRule="auto"/>
      </w:pPr>
      <w:r>
        <w:t>C. Topical creams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ASHA worker primarily acts as</w:t>
      </w:r>
    </w:p>
    <w:p>
      <w:pPr>
        <w:spacing w:after="200" w:line="276" w:lineRule="auto"/>
      </w:pPr>
      <w:r>
        <w:t>(a) A surgeon</w:t>
      </w:r>
    </w:p>
    <w:p>
      <w:pPr>
        <w:spacing w:after="200" w:line="276" w:lineRule="auto"/>
      </w:pPr>
      <w:r>
        <w:t>(b) A laboratory technician</w:t>
      </w:r>
    </w:p>
    <w:p>
      <w:pPr>
        <w:spacing w:after="200" w:line="276" w:lineRule="auto"/>
      </w:pPr>
      <w:r>
        <w:t>(c) A link worker between the community and the health system</w:t>
      </w:r>
    </w:p>
    <w:p>
      <w:pPr>
        <w:spacing w:after="200" w:line="276" w:lineRule="auto"/>
      </w:pPr>
      <w:r>
        <w:t>(d) A pharmacist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link worker between the community and the health system</w:t>
      </w:r>
    </w:p>
    <w:p>
      <w:pPr>
        <w:spacing w:after="200" w:line="276" w:lineRule="auto"/>
      </w:pPr>
      <w:r>
        <w:t>🧠 Clinical Rationale: ASHA mobilises the community, promotes health and facilitates service access.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surgeon — plausible, but not the single most accurate fact asked</w:t>
      </w:r>
    </w:p>
    <w:p>
      <w:pPr>
        <w:spacing w:after="200" w:line="276" w:lineRule="auto"/>
      </w:pPr>
      <w:r>
        <w:t>B. A laboratory technician — plausible, but not the single most accurate fact asked</w:t>
      </w:r>
    </w:p>
    <w:p>
      <w:pPr>
        <w:spacing w:after="200" w:line="276" w:lineRule="auto"/>
      </w:pPr>
      <w:r>
        <w:t>D. A pharmacist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