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Ventricular tachycardia with a pulse and stable patient is treated with</w:t>
      </w:r>
    </w:p>
    <w:p>
      <w:pPr>
        <w:spacing w:after="200" w:line="276" w:lineRule="auto"/>
      </w:pPr>
      <w:r>
        <w:t>(a) Defibrillation always</w:t>
      </w:r>
    </w:p>
    <w:p>
      <w:pPr>
        <w:spacing w:after="200" w:line="276" w:lineRule="auto"/>
      </w:pPr>
      <w:r>
        <w:t>(b) Adenosine</w:t>
      </w:r>
    </w:p>
    <w:p>
      <w:pPr>
        <w:spacing w:after="200" w:line="276" w:lineRule="auto"/>
      </w:pPr>
      <w:r>
        <w:t>(c) Amiodarone (or synchronised cardioversion if unstable)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Amiodarone (or synchronised cardioversion if unstable)</w:t>
      </w:r>
    </w:p>
    <w:p>
      <w:pPr>
        <w:spacing w:after="200" w:line="276" w:lineRule="auto"/>
      </w:pPr>
      <w:r>
        <w:t>🧠 Clinical Rationale: Stable VT: antiarrhythmic; unstable: synchronised cardioversion.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Defibrillation always — does not match the characteristic feature/management described in the stem</w:t>
      </w:r>
    </w:p>
    <w:p>
      <w:pPr>
        <w:spacing w:after="200" w:line="276" w:lineRule="auto"/>
      </w:pPr>
      <w:r>
        <w:t>B. Adenosine — does not match the characteristic feature/management described in the stem</w:t>
      </w:r>
    </w:p>
    <w:p>
      <w:pPr>
        <w:spacing w:after="200" w:line="276" w:lineRule="auto"/>
      </w:pPr>
      <w:r>
        <w:t>D. Observation — does not match the characteristic feature/management described in the stem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BCG vaccination, a normal reaction is</w:t>
      </w:r>
    </w:p>
    <w:p>
      <w:pPr>
        <w:spacing w:after="200" w:line="276" w:lineRule="auto"/>
      </w:pPr>
      <w:r>
        <w:t>(a) A small papule that forms a scar in 6-12 weeks</w:t>
      </w:r>
    </w:p>
    <w:p>
      <w:pPr>
        <w:spacing w:after="200" w:line="276" w:lineRule="auto"/>
      </w:pPr>
      <w:r>
        <w:t>(b) Immediate large abscess</w:t>
      </w:r>
    </w:p>
    <w:p>
      <w:pPr>
        <w:spacing w:after="200" w:line="276" w:lineRule="auto"/>
      </w:pPr>
      <w:r>
        <w:t>(c) Fever for a week</w:t>
      </w:r>
    </w:p>
    <w:p>
      <w:pPr>
        <w:spacing w:after="200" w:line="276" w:lineRule="auto"/>
      </w:pPr>
      <w:r>
        <w:t>(d) No reaction 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small papule that forms a scar in 6-12 weeks</w:t>
      </w:r>
    </w:p>
    <w:p>
      <w:pPr>
        <w:spacing w:after="200" w:line="276" w:lineRule="auto"/>
      </w:pPr>
      <w:r>
        <w:t>🧠 Clinical Rationale: BCG forms a papule → pustule → scar; a large abscess suggests improper technique.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large abscess — would be appropriate in a different situation, not this one</w:t>
      </w:r>
    </w:p>
    <w:p>
      <w:pPr>
        <w:spacing w:after="200" w:line="276" w:lineRule="auto"/>
      </w:pPr>
      <w:r>
        <w:t>C. Fever for a week — would be appropriate in a different situation, not this one</w:t>
      </w:r>
    </w:p>
    <w:p>
      <w:pPr>
        <w:spacing w:after="200" w:line="276" w:lineRule="auto"/>
      </w:pPr>
      <w:r>
        <w:t>D. No reaction ever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medication should NOT be crushed?</w:t>
      </w:r>
    </w:p>
    <w:p>
      <w:pPr>
        <w:spacing w:after="200" w:line="276" w:lineRule="auto"/>
      </w:pPr>
      <w:r>
        <w:t>(a) Scored tablets</w:t>
      </w:r>
    </w:p>
    <w:p>
      <w:pPr>
        <w:spacing w:after="200" w:line="276" w:lineRule="auto"/>
      </w:pPr>
      <w:r>
        <w:t>(b) Extended-release tablets and enteric-coated drugs</w:t>
      </w:r>
    </w:p>
    <w:p>
      <w:pPr>
        <w:spacing w:after="200" w:line="276" w:lineRule="auto"/>
      </w:pPr>
      <w:r>
        <w:t>(c) Plain tablets</w:t>
      </w:r>
    </w:p>
    <w:p>
      <w:pPr>
        <w:spacing w:after="200" w:line="276" w:lineRule="auto"/>
      </w:pPr>
      <w:r>
        <w:t>(d) Capsules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Extended-release tablets and enteric-coated drugs</w:t>
      </w:r>
    </w:p>
    <w:p>
      <w:pPr>
        <w:spacing w:after="200" w:line="276" w:lineRule="auto"/>
      </w:pPr>
      <w:r>
        <w:t>🧠 Clinical Rationale: Crushing SR/ER or enteric-coated forms alters release and causes toxicity.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Scored tablets — would be appropriate in a different situation, not this one</w:t>
      </w:r>
    </w:p>
    <w:p>
      <w:pPr>
        <w:spacing w:after="200" w:line="276" w:lineRule="auto"/>
      </w:pPr>
      <w:r>
        <w:t>C. Plain tablets — would be appropriate in a different situation, not this one</w:t>
      </w:r>
    </w:p>
    <w:p>
      <w:pPr>
        <w:spacing w:after="200" w:line="276" w:lineRule="auto"/>
      </w:pPr>
      <w:r>
        <w:t>D. Capsules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chest drain should be clamped only when</w:t>
      </w:r>
    </w:p>
    <w:p>
      <w:pPr>
        <w:spacing w:after="200" w:line="276" w:lineRule="auto"/>
      </w:pPr>
      <w:r>
        <w:t>(a) The patient walks</w:t>
      </w:r>
    </w:p>
    <w:p>
      <w:pPr>
        <w:spacing w:after="200" w:line="276" w:lineRule="auto"/>
      </w:pPr>
      <w:r>
        <w:t>(b) It bubbles</w:t>
      </w:r>
    </w:p>
    <w:p>
      <w:pPr>
        <w:spacing w:after="200" w:line="276" w:lineRule="auto"/>
      </w:pPr>
      <w:r>
        <w:t>(c) It is full</w:t>
      </w:r>
    </w:p>
    <w:p>
      <w:pPr>
        <w:spacing w:after="200" w:line="276" w:lineRule="auto"/>
      </w:pPr>
      <w:r>
        <w:t>(d) Ordered (e.g., during trial of removal) — never during transport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Ordered (e.g., during trial of removal) — never during transport</w:t>
      </w:r>
    </w:p>
    <w:p>
      <w:pPr>
        <w:spacing w:after="200" w:line="276" w:lineRule="auto"/>
      </w:pPr>
      <w:r>
        <w:t>🧠 Clinical Rationale: Clamping during transport risks tension pneumothorax — keep unclamped.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walks — does not match the characteristic feature/management described in the stem</w:t>
      </w:r>
    </w:p>
    <w:p>
      <w:pPr>
        <w:spacing w:after="200" w:line="276" w:lineRule="auto"/>
      </w:pPr>
      <w:r>
        <w:t>B. It bubbles — does not match the characteristic feature/management described in the stem</w:t>
      </w:r>
    </w:p>
    <w:p>
      <w:pPr>
        <w:spacing w:after="200" w:line="276" w:lineRule="auto"/>
      </w:pPr>
      <w:r>
        <w:t>C. It is full — does not match the characteristic feature/management described in the stem</w:t>
      </w:r>
    </w:p>
    <w:p>
      <w:pPr>
        <w:spacing w:after="200" w:line="276" w:lineRule="auto"/>
      </w:pPr>
      <w:r>
        <w:t>⚠️ Exam Trap: Tracheal deviation in pneumothorax points AWAY from the affected side — in tension pneumothorax it is a life-threatening emergency.</w:t>
      </w:r>
    </w:p>
    <w:p>
      <w:pPr>
        <w:spacing w:after="200" w:line="276" w:lineRule="auto"/>
      </w:pPr>
      <w:r>
        <w:t>💎 PNC Pearl: Tension pneumothorax: sudden dyspnoea + absent breath sounds + tracheal DEVIATION away from the side — needle decompression (2nd ICS, midclavicular).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Pneumothorax</w:t>
      </w:r>
    </w:p>
    <w:p>
      <w:pPr>
        <w:spacing w:after="200" w:line="276" w:lineRule="auto"/>
      </w:pPr>
      <w:r>
        <w:t>→ Spontaneous: sudden pleuritic chest pain + dyspnoea</w:t>
      </w:r>
    </w:p>
    <w:p>
      <w:pPr>
        <w:spacing w:after="200" w:line="276" w:lineRule="auto"/>
      </w:pPr>
      <w:r>
        <w:t>→ Tension: tracheal deviation, hypotension, absent breath sounds → needle decompression 2nd ICS MCL → chest tube</w:t>
      </w:r>
    </w:p>
    <w:p>
      <w:pPr>
        <w:spacing w:after="200" w:line="276" w:lineRule="auto"/>
      </w:pPr>
      <w:r>
        <w:t>→ Chest tube care: keep system below chest, no dependent loops, monitor for air leak/bubbling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haloperidol with tongue protrusion and neck spasm has</w:t>
      </w:r>
    </w:p>
    <w:p>
      <w:pPr>
        <w:spacing w:after="200" w:line="276" w:lineRule="auto"/>
      </w:pPr>
      <w:r>
        <w:t>(a) Stroke</w:t>
      </w:r>
    </w:p>
    <w:p>
      <w:pPr>
        <w:spacing w:after="200" w:line="276" w:lineRule="auto"/>
      </w:pPr>
      <w:r>
        <w:t>(b) Acute dystonia (EPS) — treat with anticholinergic</w:t>
      </w:r>
    </w:p>
    <w:p>
      <w:pPr>
        <w:spacing w:after="200" w:line="276" w:lineRule="auto"/>
      </w:pPr>
      <w:r>
        <w:t>(c) Tardive dyskinesia</w:t>
      </w:r>
    </w:p>
    <w:p>
      <w:pPr>
        <w:spacing w:after="200" w:line="276" w:lineRule="auto"/>
      </w:pPr>
      <w:r>
        <w:t>(d) Seizure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Acute dystonia (EPS) — treat with anticholinergic</w:t>
      </w:r>
    </w:p>
    <w:p>
      <w:pPr>
        <w:spacing w:after="200" w:line="276" w:lineRule="auto"/>
      </w:pPr>
      <w:r>
        <w:t>🧠 Clinical Rationale: Acute dystonia responds rapidly to benztropine/diphenhydramine.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Stroke — does not match the characteristic feature/management described in the stem</w:t>
      </w:r>
    </w:p>
    <w:p>
      <w:pPr>
        <w:spacing w:after="200" w:line="276" w:lineRule="auto"/>
      </w:pPr>
      <w:r>
        <w:t>C. Tardive dyskinesia — does not match the characteristic feature/management described in the stem</w:t>
      </w:r>
    </w:p>
    <w:p>
      <w:pPr>
        <w:spacing w:after="200" w:line="276" w:lineRule="auto"/>
      </w:pPr>
      <w:r>
        <w:t>D. Seizure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Eliminating open defecation reduces</w:t>
      </w:r>
    </w:p>
    <w:p>
      <w:pPr>
        <w:spacing w:after="200" w:line="276" w:lineRule="auto"/>
      </w:pPr>
      <w:r>
        <w:t>(a) Malaria</w:t>
      </w:r>
    </w:p>
    <w:p>
      <w:pPr>
        <w:spacing w:after="200" w:line="276" w:lineRule="auto"/>
      </w:pPr>
      <w:r>
        <w:t>(b) Diarrhoeal diseases and child stunting</w:t>
      </w:r>
    </w:p>
    <w:p>
      <w:pPr>
        <w:spacing w:after="200" w:line="276" w:lineRule="auto"/>
      </w:pPr>
      <w:r>
        <w:t>(c) Dengue</w:t>
      </w:r>
    </w:p>
    <w:p>
      <w:pPr>
        <w:spacing w:after="200" w:line="276" w:lineRule="auto"/>
      </w:pPr>
      <w:r>
        <w:t>(d) Asthma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Diarrhoeal diseases and child stunting</w:t>
      </w:r>
    </w:p>
    <w:p>
      <w:pPr>
        <w:spacing w:after="200" w:line="276" w:lineRule="auto"/>
      </w:pPr>
      <w:r>
        <w:t>🧠 Clinical Rationale: Sanitation breaks the faecal-oral cycle, cutting diarrhoea and malnutrition.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— would be appropriate in a different situation, not this one</w:t>
      </w:r>
    </w:p>
    <w:p>
      <w:pPr>
        <w:spacing w:after="200" w:line="276" w:lineRule="auto"/>
      </w:pPr>
      <w:r>
        <w:t>C. Dengue — would be appropriate in a different situation, not this one</w:t>
      </w:r>
    </w:p>
    <w:p>
      <w:pPr>
        <w:spacing w:after="200" w:line="276" w:lineRule="auto"/>
      </w:pPr>
      <w:r>
        <w:t>D. Asthma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H. pylori infection is commonly confirmed by</w:t>
      </w:r>
    </w:p>
    <w:p>
      <w:pPr>
        <w:spacing w:after="200" w:line="276" w:lineRule="auto"/>
      </w:pPr>
      <w:r>
        <w:t>(a) Only X-ray</w:t>
      </w:r>
    </w:p>
    <w:p>
      <w:pPr>
        <w:spacing w:after="200" w:line="276" w:lineRule="auto"/>
      </w:pPr>
      <w:r>
        <w:t>(b) Blood sugar test</w:t>
      </w:r>
    </w:p>
    <w:p>
      <w:pPr>
        <w:spacing w:after="200" w:line="276" w:lineRule="auto"/>
      </w:pPr>
      <w:r>
        <w:t>(c) Urea breath test, stool antigen or biopsy</w:t>
      </w:r>
    </w:p>
    <w:p>
      <w:pPr>
        <w:spacing w:after="200" w:line="276" w:lineRule="auto"/>
      </w:pPr>
      <w:r>
        <w:t>(d) Urine culture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Urea breath test, stool antigen or biopsy</w:t>
      </w:r>
    </w:p>
    <w:p>
      <w:pPr>
        <w:spacing w:after="200" w:line="276" w:lineRule="auto"/>
      </w:pPr>
      <w:r>
        <w:t>🧠 Clinical Rationale: Non-invasive (breath, stool) tests confirm eradication after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X-ray — would be appropriate in a different situation, not this one</w:t>
      </w:r>
    </w:p>
    <w:p>
      <w:pPr>
        <w:spacing w:after="200" w:line="276" w:lineRule="auto"/>
      </w:pPr>
      <w:r>
        <w:t>B. Blood sugar test — would be appropriate in a different situation, not this one</w:t>
      </w:r>
    </w:p>
    <w:p>
      <w:pPr>
        <w:spacing w:after="200" w:line="276" w:lineRule="auto"/>
      </w:pPr>
      <w:r>
        <w:t>D. Urine culture — would be appropriate in a different situation, not this one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normal total weight gain in pregnancy is approximately</w:t>
      </w:r>
    </w:p>
    <w:p>
      <w:pPr>
        <w:spacing w:after="200" w:line="276" w:lineRule="auto"/>
      </w:pPr>
      <w:r>
        <w:t>(a) 11-16 kg</w:t>
      </w:r>
    </w:p>
    <w:p>
      <w:pPr>
        <w:spacing w:after="200" w:line="276" w:lineRule="auto"/>
      </w:pPr>
      <w:r>
        <w:t>(b) 2-5 kg</w:t>
      </w:r>
    </w:p>
    <w:p>
      <w:pPr>
        <w:spacing w:after="200" w:line="276" w:lineRule="auto"/>
      </w:pPr>
      <w:r>
        <w:t>(c) 20-30 kg</w:t>
      </w:r>
    </w:p>
    <w:p>
      <w:pPr>
        <w:spacing w:after="200" w:line="276" w:lineRule="auto"/>
      </w:pPr>
      <w:r>
        <w:t>(d) 0-1 kg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11-16 kg</w:t>
      </w:r>
    </w:p>
    <w:p>
      <w:pPr>
        <w:spacing w:after="200" w:line="276" w:lineRule="auto"/>
      </w:pPr>
      <w:r>
        <w:t>🧠 Clinical Rationale: ~11.5-16 kg for normal BMI; gain pattern matters for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2-5 kg — would be appropriate in a different situation, not this one</w:t>
      </w:r>
    </w:p>
    <w:p>
      <w:pPr>
        <w:spacing w:after="200" w:line="276" w:lineRule="auto"/>
      </w:pPr>
      <w:r>
        <w:t>C. 20-30 kg — would be appropriate in a different situation, not this one</w:t>
      </w:r>
    </w:p>
    <w:p>
      <w:pPr>
        <w:spacing w:after="200" w:line="276" w:lineRule="auto"/>
      </w:pPr>
      <w:r>
        <w:t>D. 0-1 kg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single-rescuer CPR ratio for a child is</w:t>
      </w:r>
    </w:p>
    <w:p>
      <w:pPr>
        <w:spacing w:after="200" w:line="276" w:lineRule="auto"/>
      </w:pPr>
      <w:r>
        <w:t>(a) 15:1</w:t>
      </w:r>
    </w:p>
    <w:p>
      <w:pPr>
        <w:spacing w:after="200" w:line="276" w:lineRule="auto"/>
      </w:pPr>
      <w:r>
        <w:t>(b) 30:2 (15:2 for two rescuers)</w:t>
      </w:r>
    </w:p>
    <w:p>
      <w:pPr>
        <w:spacing w:after="200" w:line="276" w:lineRule="auto"/>
      </w:pPr>
      <w:r>
        <w:t>(c) 5:2</w:t>
      </w:r>
    </w:p>
    <w:p>
      <w:pPr>
        <w:spacing w:after="200" w:line="276" w:lineRule="auto"/>
      </w:pPr>
      <w:r>
        <w:t>(d) 30:1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30:2 (15:2 for two rescuers)</w:t>
      </w:r>
    </w:p>
    <w:p>
      <w:pPr>
        <w:spacing w:after="200" w:line="276" w:lineRule="auto"/>
      </w:pPr>
      <w:r>
        <w:t>🧠 Clinical Rationale: Child single rescuer 30:2; two rescuers 15:2.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15:1 — plausible, but not the single most accurate fact asked</w:t>
      </w:r>
    </w:p>
    <w:p>
      <w:pPr>
        <w:spacing w:after="200" w:line="276" w:lineRule="auto"/>
      </w:pPr>
      <w:r>
        <w:t>C. 5:2 — plausible, but not the single most accurate fact asked</w:t>
      </w:r>
    </w:p>
    <w:p>
      <w:pPr>
        <w:spacing w:after="200" w:line="276" w:lineRule="auto"/>
      </w:pPr>
      <w:r>
        <w:t>D. 30:1 — plausible, but not the single most accurate fact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Shifting dullness on abdominal percussion suggests</w:t>
      </w:r>
    </w:p>
    <w:p>
      <w:pPr>
        <w:spacing w:after="200" w:line="276" w:lineRule="auto"/>
      </w:pPr>
      <w:r>
        <w:t>(a) Gas</w:t>
      </w:r>
    </w:p>
    <w:p>
      <w:pPr>
        <w:spacing w:after="200" w:line="276" w:lineRule="auto"/>
      </w:pPr>
      <w:r>
        <w:t>(b) Solid mass</w:t>
      </w:r>
    </w:p>
    <w:p>
      <w:pPr>
        <w:spacing w:after="200" w:line="276" w:lineRule="auto"/>
      </w:pPr>
      <w:r>
        <w:t>(c) Normal bowel</w:t>
      </w:r>
    </w:p>
    <w:p>
      <w:pPr>
        <w:spacing w:after="200" w:line="276" w:lineRule="auto"/>
      </w:pPr>
      <w:r>
        <w:t>(d) Ascites (free fluid in the peritoneal cavity)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Ascites (free fluid in the peritoneal cavity)</w:t>
      </w:r>
    </w:p>
    <w:p>
      <w:pPr>
        <w:spacing w:after="200" w:line="276" w:lineRule="auto"/>
      </w:pPr>
      <w:r>
        <w:t>🧠 Clinical Rationale: Shifting dullness and fluid wave indicate ascites — confirm with ultrasound.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Gas — does not match the characteristic feature/management described in the stem</w:t>
      </w:r>
    </w:p>
    <w:p>
      <w:pPr>
        <w:spacing w:after="200" w:line="276" w:lineRule="auto"/>
      </w:pPr>
      <w:r>
        <w:t>B. Solid mass — does not match the characteristic feature/management described in the stem</w:t>
      </w:r>
    </w:p>
    <w:p>
      <w:pPr>
        <w:spacing w:after="200" w:line="276" w:lineRule="auto"/>
      </w:pPr>
      <w:r>
        <w:t>C. Normal bowel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wound dressing should be changed using</w:t>
      </w:r>
    </w:p>
    <w:p>
      <w:pPr>
        <w:spacing w:after="200" w:line="276" w:lineRule="auto"/>
      </w:pPr>
      <w:r>
        <w:t>(a) Bare hands</w:t>
      </w:r>
    </w:p>
    <w:p>
      <w:pPr>
        <w:spacing w:after="200" w:line="276" w:lineRule="auto"/>
      </w:pPr>
      <w:r>
        <w:t>(b) Reused materials</w:t>
      </w:r>
    </w:p>
    <w:p>
      <w:pPr>
        <w:spacing w:after="200" w:line="276" w:lineRule="auto"/>
      </w:pPr>
      <w:r>
        <w:t>(c) Aseptic (no-touch) technique</w:t>
      </w:r>
    </w:p>
    <w:p>
      <w:pPr>
        <w:spacing w:after="200" w:line="276" w:lineRule="auto"/>
      </w:pPr>
      <w:r>
        <w:t>(d) Open exposure without cover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Aseptic (no-touch) technique</w:t>
      </w:r>
    </w:p>
    <w:p>
      <w:pPr>
        <w:spacing w:after="200" w:line="276" w:lineRule="auto"/>
      </w:pPr>
      <w:r>
        <w:t>🧠 Clinical Rationale: Aseptic technique prevents contamination and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Bare hands — would be appropriate in a different situation, not this one</w:t>
      </w:r>
    </w:p>
    <w:p>
      <w:pPr>
        <w:spacing w:after="200" w:line="276" w:lineRule="auto"/>
      </w:pPr>
      <w:r>
        <w:t>B. Reused materials — would be appropriate in a different situation, not this one</w:t>
      </w:r>
    </w:p>
    <w:p>
      <w:pPr>
        <w:spacing w:after="200" w:line="276" w:lineRule="auto"/>
      </w:pPr>
      <w:r>
        <w:t>D. Open exposure without cover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Chikungunya is transmitted by</w:t>
      </w:r>
    </w:p>
    <w:p>
      <w:pPr>
        <w:spacing w:after="200" w:line="276" w:lineRule="auto"/>
      </w:pPr>
      <w:r>
        <w:t>(a) Aedes aegypti mosquito</w:t>
      </w:r>
    </w:p>
    <w:p>
      <w:pPr>
        <w:spacing w:after="200" w:line="276" w:lineRule="auto"/>
      </w:pPr>
      <w:r>
        <w:t>(b) Anopheles</w:t>
      </w:r>
    </w:p>
    <w:p>
      <w:pPr>
        <w:spacing w:after="200" w:line="276" w:lineRule="auto"/>
      </w:pPr>
      <w:r>
        <w:t>(c) Culex</w:t>
      </w:r>
    </w:p>
    <w:p>
      <w:pPr>
        <w:spacing w:after="200" w:line="276" w:lineRule="auto"/>
      </w:pPr>
      <w:r>
        <w:t>(d) Tsetse fly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Aedes aegypti mosquito</w:t>
      </w:r>
    </w:p>
    <w:p>
      <w:pPr>
        <w:spacing w:after="200" w:line="276" w:lineRule="auto"/>
      </w:pPr>
      <w:r>
        <w:t>🧠 Clinical Rationale: Aedes transmits chikungunya, dengue and Zika — source reduction is key.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Anopheles — plausible, but not the single most accurate fact asked</w:t>
      </w:r>
    </w:p>
    <w:p>
      <w:pPr>
        <w:spacing w:after="200" w:line="276" w:lineRule="auto"/>
      </w:pPr>
      <w:r>
        <w:t>C. Culex — plausible, but not the single most accurate fact asked</w:t>
      </w:r>
    </w:p>
    <w:p>
      <w:pPr>
        <w:spacing w:after="200" w:line="276" w:lineRule="auto"/>
      </w:pPr>
      <w:r>
        <w:t>D. Tsetse fly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Pernicious anaemia is due to deficiency of</w:t>
      </w:r>
    </w:p>
    <w:p>
      <w:pPr>
        <w:spacing w:after="200" w:line="276" w:lineRule="auto"/>
      </w:pPr>
      <w:r>
        <w:t>(a) Iron</w:t>
      </w:r>
    </w:p>
    <w:p>
      <w:pPr>
        <w:spacing w:after="200" w:line="276" w:lineRule="auto"/>
      </w:pPr>
      <w:r>
        <w:t>(b) Folic acid</w:t>
      </w:r>
    </w:p>
    <w:p>
      <w:pPr>
        <w:spacing w:after="200" w:line="276" w:lineRule="auto"/>
      </w:pPr>
      <w:r>
        <w:t>(c) Vitamin C</w:t>
      </w:r>
    </w:p>
    <w:p>
      <w:pPr>
        <w:spacing w:after="200" w:line="276" w:lineRule="auto"/>
      </w:pPr>
      <w:r>
        <w:t>(d) Vitamin B12 (lack of intrinsic factor)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Vitamin B12 (lack of intrinsic factor)</w:t>
      </w:r>
    </w:p>
    <w:p>
      <w:pPr>
        <w:spacing w:after="200" w:line="276" w:lineRule="auto"/>
      </w:pPr>
      <w:r>
        <w:t>🧠 Clinical Rationale: Autoimmune gastritis impairs B12 absorption — parenteral B12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Anaemia - Pernicious Type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Vitamin B12 (lack of intrinsic factor)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— does not match the characteristic feature/management described in the stem</w:t>
      </w:r>
    </w:p>
    <w:p>
      <w:pPr>
        <w:spacing w:after="200" w:line="276" w:lineRule="auto"/>
      </w:pPr>
      <w:r>
        <w:t>B. Folic acid — does not match the characteristic feature/management described in the stem</w:t>
      </w:r>
    </w:p>
    <w:p>
      <w:pPr>
        <w:spacing w:after="200" w:line="276" w:lineRule="auto"/>
      </w:pPr>
      <w:r>
        <w:t>C. Vitamin C — does not match the characteristic feature/management described in the stem</w:t>
      </w:r>
    </w:p>
    <w:p>
      <w:pPr>
        <w:spacing w:after="200" w:line="276" w:lineRule="auto"/>
      </w:pPr>
      <w:r>
        <w:t>⚠️ Exam Trap: Pernicious anaemia is B12 (intrinsic factor) deficiency — not iron or folate; it causes MACROCYTIC anaemia with neuropathy.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Pernicious anaemia = vitamin B12 deficiency from lack of intrinsic factor → treated with lifelong IM B12 (cyanocobalamin).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 B12 / Pernicious anaemia</w:t>
      </w:r>
    </w:p>
    <w:p>
      <w:pPr>
        <w:spacing w:after="200" w:line="276" w:lineRule="auto"/>
      </w:pPr>
      <w:r>
        <w:t>→ Cause: lack of intrinsic factor (autoimmune, gastrectomy)</w:t>
      </w:r>
    </w:p>
    <w:p>
      <w:pPr>
        <w:spacing w:after="200" w:line="276" w:lineRule="auto"/>
      </w:pPr>
      <w:r>
        <w:t>→ Cells: macrocytic (megaloblastic); neurological signs (paraesthesia, ataxia)</w:t>
      </w:r>
    </w:p>
    <w:p>
      <w:pPr>
        <w:spacing w:after="200" w:line="276" w:lineRule="auto"/>
      </w:pPr>
      <w:r>
        <w:t>→ Treatment: IM vitamin B12 lifelong; monitor neurological improvement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Crowning refers to</w:t>
      </w:r>
    </w:p>
    <w:p>
      <w:pPr>
        <w:spacing w:after="200" w:line="276" w:lineRule="auto"/>
      </w:pPr>
      <w:r>
        <w:t>(a) Full dilatation</w:t>
      </w:r>
    </w:p>
    <w:p>
      <w:pPr>
        <w:spacing w:after="200" w:line="276" w:lineRule="auto"/>
      </w:pPr>
      <w:r>
        <w:t>(b) Placental delivery</w:t>
      </w:r>
    </w:p>
    <w:p>
      <w:pPr>
        <w:spacing w:after="200" w:line="276" w:lineRule="auto"/>
      </w:pPr>
      <w:r>
        <w:t>(c) Rupture of membranes</w:t>
      </w:r>
    </w:p>
    <w:p>
      <w:pPr>
        <w:spacing w:after="200" w:line="276" w:lineRule="auto"/>
      </w:pPr>
      <w:r>
        <w:t>(d) The fetal head visible at the introitus without retracting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fetal head visible at the introitus without retracting</w:t>
      </w:r>
    </w:p>
    <w:p>
      <w:pPr>
        <w:spacing w:after="200" w:line="276" w:lineRule="auto"/>
      </w:pPr>
      <w:r>
        <w:t>🧠 Clinical Rationale: Crowning precedes birth — control the head and prepare for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Full dilatation — plausible, but not the single most accurate fact asked</w:t>
      </w:r>
    </w:p>
    <w:p>
      <w:pPr>
        <w:spacing w:after="200" w:line="276" w:lineRule="auto"/>
      </w:pPr>
      <w:r>
        <w:t>B. Placental delivery — plausible, but not the single most accurate fact asked</w:t>
      </w:r>
    </w:p>
    <w:p>
      <w:pPr>
        <w:spacing w:after="200" w:line="276" w:lineRule="auto"/>
      </w:pPr>
      <w:r>
        <w:t>C. Rupture of membranes — plausible, but not the single most accurate fact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stages of grief per Kübler-Ross include</w:t>
      </w:r>
    </w:p>
    <w:p>
      <w:pPr>
        <w:spacing w:after="200" w:line="276" w:lineRule="auto"/>
      </w:pPr>
      <w:r>
        <w:t>(a) Denial, anger, bargaining, depression, acceptance</w:t>
      </w:r>
    </w:p>
    <w:p>
      <w:pPr>
        <w:spacing w:after="200" w:line="276" w:lineRule="auto"/>
      </w:pPr>
      <w:r>
        <w:t>(b) Shock, repair, growth</w:t>
      </w:r>
    </w:p>
    <w:p>
      <w:pPr>
        <w:spacing w:after="200" w:line="276" w:lineRule="auto"/>
      </w:pPr>
      <w:r>
        <w:t>(c) Avoidance only</w:t>
      </w:r>
    </w:p>
    <w:p>
      <w:pPr>
        <w:spacing w:after="200" w:line="276" w:lineRule="auto"/>
      </w:pPr>
      <w:r>
        <w:t>(d) No stages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Denial, anger, bargaining, depression, acceptance</w:t>
      </w:r>
    </w:p>
    <w:p>
      <w:pPr>
        <w:spacing w:after="200" w:line="276" w:lineRule="auto"/>
      </w:pPr>
      <w:r>
        <w:t>🧠 Clinical Rationale: The five stages describe a common grief journey, not a fixed sequence.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Shock, repair, growth — plausible, but not the single most accurate fact asked</w:t>
      </w:r>
    </w:p>
    <w:p>
      <w:pPr>
        <w:spacing w:after="200" w:line="276" w:lineRule="auto"/>
      </w:pPr>
      <w:r>
        <w:t>C. Avoidance only — plausible, but not the single most accurate fact asked</w:t>
      </w:r>
    </w:p>
    <w:p>
      <w:pPr>
        <w:spacing w:after="200" w:line="276" w:lineRule="auto"/>
      </w:pPr>
      <w:r>
        <w:t>D. No stages — plausible, but not the single most accurate fact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hypothermic newborn may show</w:t>
      </w:r>
    </w:p>
    <w:p>
      <w:pPr>
        <w:spacing w:after="200" w:line="276" w:lineRule="auto"/>
      </w:pPr>
      <w:r>
        <w:t>(a) Fever</w:t>
      </w:r>
    </w:p>
    <w:p>
      <w:pPr>
        <w:spacing w:after="200" w:line="276" w:lineRule="auto"/>
      </w:pPr>
      <w:r>
        <w:t>(b) Cold skin, lethargy, poor feeding and respiratory distress</w:t>
      </w:r>
    </w:p>
    <w:p>
      <w:pPr>
        <w:spacing w:after="200" w:line="276" w:lineRule="auto"/>
      </w:pPr>
      <w:r>
        <w:t>(c) Hyperactivity</w:t>
      </w:r>
    </w:p>
    <w:p>
      <w:pPr>
        <w:spacing w:after="200" w:line="276" w:lineRule="auto"/>
      </w:pPr>
      <w:r>
        <w:t>(d) Weight gain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Cold skin, lethargy, poor feeding and respiratory distress</w:t>
      </w:r>
    </w:p>
    <w:p>
      <w:pPr>
        <w:spacing w:after="200" w:line="276" w:lineRule="auto"/>
      </w:pPr>
      <w:r>
        <w:t>🧠 Clinical Rationale: Kangaroo care and the warm chain prevent neonatal hypothermia.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— does not match the characteristic feature/management described in the stem</w:t>
      </w:r>
    </w:p>
    <w:p>
      <w:pPr>
        <w:spacing w:after="200" w:line="276" w:lineRule="auto"/>
      </w:pPr>
      <w:r>
        <w:t>C. Hyperactivity — does not match the characteristic feature/management described in the stem</w:t>
      </w:r>
    </w:p>
    <w:p>
      <w:pPr>
        <w:spacing w:after="200" w:line="276" w:lineRule="auto"/>
      </w:pPr>
      <w:r>
        <w:t>D. Weight gain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Colorectal cancer screening in average-risk adults begins at age</w:t>
      </w:r>
    </w:p>
    <w:p>
      <w:pPr>
        <w:spacing w:after="200" w:line="276" w:lineRule="auto"/>
      </w:pPr>
      <w:r>
        <w:t>(a) 20 years</w:t>
      </w:r>
    </w:p>
    <w:p>
      <w:pPr>
        <w:spacing w:after="200" w:line="276" w:lineRule="auto"/>
      </w:pPr>
      <w:r>
        <w:t>(b) 70 years</w:t>
      </w:r>
    </w:p>
    <w:p>
      <w:pPr>
        <w:spacing w:after="200" w:line="276" w:lineRule="auto"/>
      </w:pPr>
      <w:r>
        <w:t>(c) Only with symptoms</w:t>
      </w:r>
    </w:p>
    <w:p>
      <w:pPr>
        <w:spacing w:after="200" w:line="276" w:lineRule="auto"/>
      </w:pPr>
      <w:r>
        <w:t>(d) 45-50 years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45-50 years</w:t>
      </w:r>
    </w:p>
    <w:p>
      <w:pPr>
        <w:spacing w:after="200" w:line="276" w:lineRule="auto"/>
      </w:pPr>
      <w:r>
        <w:t>🧠 Clinical Rationale: Colonoscopy/faecal testing from age 45-50 detects early lesions.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years — would be appropriate in a different situation, not this one</w:t>
      </w:r>
    </w:p>
    <w:p>
      <w:pPr>
        <w:spacing w:after="200" w:line="276" w:lineRule="auto"/>
      </w:pPr>
      <w:r>
        <w:t>B. 70 years — would be appropriate in a different situation, not this one</w:t>
      </w:r>
    </w:p>
    <w:p>
      <w:pPr>
        <w:spacing w:after="200" w:line="276" w:lineRule="auto"/>
      </w:pPr>
      <w:r>
        <w:t>C. Only with symptoms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teach-back method confirms</w:t>
      </w:r>
    </w:p>
    <w:p>
      <w:pPr>
        <w:spacing w:after="200" w:line="276" w:lineRule="auto"/>
      </w:pPr>
      <w:r>
        <w:t>(a) The nurse's knowledge</w:t>
      </w:r>
    </w:p>
    <w:p>
      <w:pPr>
        <w:spacing w:after="200" w:line="276" w:lineRule="auto"/>
      </w:pPr>
      <w:r>
        <w:t>(b) Medication stock</w:t>
      </w:r>
    </w:p>
    <w:p>
      <w:pPr>
        <w:spacing w:after="200" w:line="276" w:lineRule="auto"/>
      </w:pPr>
      <w:r>
        <w:t>(c) That the patient understands the instructions</w:t>
      </w:r>
    </w:p>
    <w:p>
      <w:pPr>
        <w:spacing w:after="200" w:line="276" w:lineRule="auto"/>
      </w:pPr>
      <w:r>
        <w:t>(d) The diagnosis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That the patient understands the instructions</w:t>
      </w:r>
    </w:p>
    <w:p>
      <w:pPr>
        <w:spacing w:after="200" w:line="276" w:lineRule="auto"/>
      </w:pPr>
      <w:r>
        <w:t>🧠 Clinical Rationale: Asking the patient to restate instructions verifies comprehension.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nurse's knowledge — would be appropriate in a different situation, not this one</w:t>
      </w:r>
    </w:p>
    <w:p>
      <w:pPr>
        <w:spacing w:after="200" w:line="276" w:lineRule="auto"/>
      </w:pPr>
      <w:r>
        <w:t>B. Medication stock — would be appropriate in a different situation, not this one</w:t>
      </w:r>
    </w:p>
    <w:p>
      <w:pPr>
        <w:spacing w:after="200" w:line="276" w:lineRule="auto"/>
      </w:pPr>
      <w:r>
        <w:t>D. The diagnosis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Vaccines are stored in which cold chain equipment at PHCs?</w:t>
      </w:r>
    </w:p>
    <w:p>
      <w:pPr>
        <w:spacing w:after="200" w:line="276" w:lineRule="auto"/>
      </w:pPr>
      <w:r>
        <w:t>(a) Freezers at -20°C only</w:t>
      </w:r>
    </w:p>
    <w:p>
      <w:pPr>
        <w:spacing w:after="200" w:line="276" w:lineRule="auto"/>
      </w:pPr>
      <w:r>
        <w:t>(b) Open shelves</w:t>
      </w:r>
    </w:p>
    <w:p>
      <w:pPr>
        <w:spacing w:after="200" w:line="276" w:lineRule="auto"/>
      </w:pPr>
      <w:r>
        <w:t>(c) Ice-lined refrigerators (ILR) at 2-8°C</w:t>
      </w:r>
    </w:p>
    <w:p>
      <w:pPr>
        <w:spacing w:after="200" w:line="276" w:lineRule="auto"/>
      </w:pPr>
      <w:r>
        <w:t>(d) Cooking ovens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Ice-lined refrigerators (ILR) at 2-8°C</w:t>
      </w:r>
    </w:p>
    <w:p>
      <w:pPr>
        <w:spacing w:after="200" w:line="276" w:lineRule="auto"/>
      </w:pPr>
      <w:r>
        <w:t>🧠 Clinical Rationale: ILRs and cold boxes maintain the 2-8°C vaccine chain.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Freezers at -20°C only — plausible, but not the single most accurate fact asked</w:t>
      </w:r>
    </w:p>
    <w:p>
      <w:pPr>
        <w:spacing w:after="200" w:line="276" w:lineRule="auto"/>
      </w:pPr>
      <w:r>
        <w:t>B. Open shelves — plausible, but not the single most accurate fact asked</w:t>
      </w:r>
    </w:p>
    <w:p>
      <w:pPr>
        <w:spacing w:after="200" w:line="276" w:lineRule="auto"/>
      </w:pPr>
      <w:r>
        <w:t>D. Cooking ovens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bicarbonate in DKA is reserved for</w:t>
      </w:r>
    </w:p>
    <w:p>
      <w:pPr>
        <w:spacing w:after="200" w:line="276" w:lineRule="auto"/>
      </w:pPr>
      <w:r>
        <w:t>(a) Severe acidosis (pH &lt;6.9-7.0)</w:t>
      </w:r>
    </w:p>
    <w:p>
      <w:pPr>
        <w:spacing w:after="200" w:line="276" w:lineRule="auto"/>
      </w:pPr>
      <w:r>
        <w:t>(b) All patients</w:t>
      </w:r>
    </w:p>
    <w:p>
      <w:pPr>
        <w:spacing w:after="200" w:line="276" w:lineRule="auto"/>
      </w:pPr>
      <w:r>
        <w:t>(c) Mild ketosis</w:t>
      </w:r>
    </w:p>
    <w:p>
      <w:pPr>
        <w:spacing w:after="200" w:line="276" w:lineRule="auto"/>
      </w:pPr>
      <w:r>
        <w:t>(d) Routine use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acidosis (pH &lt;6.9-7.0)</w:t>
      </w:r>
    </w:p>
    <w:p>
      <w:pPr>
        <w:spacing w:after="200" w:line="276" w:lineRule="auto"/>
      </w:pPr>
      <w:r>
        <w:t>🧠 Clinical Rationale: Bicarbonate is rarely needed — insulin and fluids usually correct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patients — does not match the characteristic feature/management described in the stem</w:t>
      </w:r>
    </w:p>
    <w:p>
      <w:pPr>
        <w:spacing w:after="200" w:line="276" w:lineRule="auto"/>
      </w:pPr>
      <w:r>
        <w:t>C. Mild ketosis — does not match the characteristic feature/management described in the stem</w:t>
      </w:r>
    </w:p>
    <w:p>
      <w:pPr>
        <w:spacing w:after="200" w:line="276" w:lineRule="auto"/>
      </w:pPr>
      <w:r>
        <w:t>D. Routine use — does not match the characteristic feature/management described in the stem</w:t>
      </w:r>
    </w:p>
    <w:p>
      <w:pPr>
        <w:spacing w:after="200" w:line="276" w:lineRule="auto"/>
      </w:pPr>
      <w:r>
        <w:t>⚠️ Exam Trap: Kussmaul deep rapid breathing points to METABOLIC ACIDOSIS (DKA), not respiratory failure; insulin + IV fluids are the treatment, not just fluids.</w:t>
      </w:r>
    </w:p>
    <w:p>
      <w:pPr>
        <w:spacing w:after="200" w:line="276" w:lineRule="auto"/>
      </w:pPr>
      <w:r>
        <w:t>💎 PNC Pearl: DKA = hyperglycaemia + ketones + metabolic acidosis → Kussmaul breathing and fruity breath.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DKA</w:t>
      </w:r>
    </w:p>
    <w:p>
      <w:pPr>
        <w:spacing w:after="200" w:line="276" w:lineRule="auto"/>
      </w:pPr>
      <w:r>
        <w:t>→ Classic clues: Kussmaul breathing, fruity breath, dehydration, ketonuria</w:t>
      </w:r>
    </w:p>
    <w:p>
      <w:pPr>
        <w:spacing w:after="200" w:line="276" w:lineRule="auto"/>
      </w:pPr>
      <w:r>
        <w:t>→ Management: IV fluids → insulin infusion → potassium replacement → monitor glucose and K+ hourly</w:t>
      </w:r>
    </w:p>
    <w:p>
      <w:pPr>
        <w:spacing w:after="200" w:line="276" w:lineRule="auto"/>
      </w:pPr>
      <w:r>
        <w:t>→ Watch: hypokalaemia when insulin drives K+ into cells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