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Insulin should NOT be started in DKA if serum potassium is</w:t>
      </w:r>
    </w:p>
    <w:p>
      <w:pPr>
        <w:spacing w:after="200" w:line="276" w:lineRule="auto"/>
      </w:pPr>
      <w:r>
        <w:t>(a) &gt;5.5 mEq/L</w:t>
      </w:r>
    </w:p>
    <w:p>
      <w:pPr>
        <w:spacing w:after="200" w:line="276" w:lineRule="auto"/>
      </w:pPr>
      <w:r>
        <w:t>(b) &lt;3.3 mEq/L (correct K+ first)</w:t>
      </w:r>
    </w:p>
    <w:p>
      <w:pPr>
        <w:spacing w:after="200" w:line="276" w:lineRule="auto"/>
      </w:pPr>
      <w:r>
        <w:t>(c) 4.0 mEq/L</w:t>
      </w:r>
    </w:p>
    <w:p>
      <w:pPr>
        <w:spacing w:after="200" w:line="276" w:lineRule="auto"/>
      </w:pPr>
      <w:r>
        <w:t>(d) Any level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&lt;3.3 mEq/L (correct K+ first)</w:t>
      </w:r>
    </w:p>
    <w:p>
      <w:pPr>
        <w:spacing w:after="200" w:line="276" w:lineRule="auto"/>
      </w:pPr>
      <w:r>
        <w:t>🧠 Clinical Rationale: Insulin drives K+ into cells — dangerous hypokalaemia if K+ &lt;3.3.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&gt;5.5 mEq/L — does not match the characteristic feature/management described in the stem</w:t>
      </w:r>
    </w:p>
    <w:p>
      <w:pPr>
        <w:spacing w:after="200" w:line="276" w:lineRule="auto"/>
      </w:pPr>
      <w:r>
        <w:t>C. 4.0 mEq/L — does not match the characteristic feature/management described in the stem</w:t>
      </w:r>
    </w:p>
    <w:p>
      <w:pPr>
        <w:spacing w:after="200" w:line="276" w:lineRule="auto"/>
      </w:pPr>
      <w:r>
        <w:t>D. Any level — does not match the characteristic feature/management described in the stem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IMNCI, a 'pink' classification means</w:t>
      </w:r>
    </w:p>
    <w:p>
      <w:pPr>
        <w:spacing w:after="200" w:line="276" w:lineRule="auto"/>
      </w:pPr>
      <w:r>
        <w:t>(a) Home care</w:t>
      </w:r>
    </w:p>
    <w:p>
      <w:pPr>
        <w:spacing w:after="200" w:line="276" w:lineRule="auto"/>
      </w:pPr>
      <w:r>
        <w:t>(b) Follow-up in 3 days</w:t>
      </w:r>
    </w:p>
    <w:p>
      <w:pPr>
        <w:spacing w:after="200" w:line="276" w:lineRule="auto"/>
      </w:pPr>
      <w:r>
        <w:t>(c) Urgent referral/hospital admission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Urgent referral/hospital admission</w:t>
      </w:r>
    </w:p>
    <w:p>
      <w:pPr>
        <w:spacing w:after="200" w:line="276" w:lineRule="auto"/>
      </w:pPr>
      <w:r>
        <w:t>🧠 Clinical Rationale: Pink = severe disease needing urgent referral; yellow = treat at facility; green = home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Home care — would be appropriate in a different situation, not this one</w:t>
      </w:r>
    </w:p>
    <w:p>
      <w:pPr>
        <w:spacing w:after="200" w:line="276" w:lineRule="auto"/>
      </w:pPr>
      <w:r>
        <w:t>B. Follow-up in 3 days — would be appropriate in a different situation, not this one</w:t>
      </w:r>
    </w:p>
    <w:p>
      <w:pPr>
        <w:spacing w:after="200" w:line="276" w:lineRule="auto"/>
      </w:pPr>
      <w:r>
        <w:t>D. No treatment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medication requires an independent double-check before administration?</w:t>
      </w:r>
    </w:p>
    <w:p>
      <w:pPr>
        <w:spacing w:after="200" w:line="276" w:lineRule="auto"/>
      </w:pPr>
      <w:r>
        <w:t>(a) Oral paracetamol</w:t>
      </w:r>
    </w:p>
    <w:p>
      <w:pPr>
        <w:spacing w:after="200" w:line="276" w:lineRule="auto"/>
      </w:pPr>
      <w:r>
        <w:t>(b) IV insulin and heparin</w:t>
      </w:r>
    </w:p>
    <w:p>
      <w:pPr>
        <w:spacing w:after="200" w:line="276" w:lineRule="auto"/>
      </w:pPr>
      <w:r>
        <w:t>(c) Topical cream</w:t>
      </w:r>
    </w:p>
    <w:p>
      <w:pPr>
        <w:spacing w:after="200" w:line="276" w:lineRule="auto"/>
      </w:pPr>
      <w:r>
        <w:t>(d) Oral vitamins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IV insulin and heparin</w:t>
      </w:r>
    </w:p>
    <w:p>
      <w:pPr>
        <w:spacing w:after="200" w:line="276" w:lineRule="auto"/>
      </w:pPr>
      <w:r>
        <w:t>🧠 Clinical Rationale: High-alert drugs (insulin, heparin, opioids, chemo) get independent verification.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paracetamol — would be appropriate in a different situation, not this one</w:t>
      </w:r>
    </w:p>
    <w:p>
      <w:pPr>
        <w:spacing w:after="200" w:line="276" w:lineRule="auto"/>
      </w:pPr>
      <w:r>
        <w:t>C. Topical cream — would be appropriate in a different situation, not this one</w:t>
      </w:r>
    </w:p>
    <w:p>
      <w:pPr>
        <w:spacing w:after="200" w:line="276" w:lineRule="auto"/>
      </w:pPr>
      <w:r>
        <w:t>D. Oral vitamins — would be appropriate in a different situation, not this one</w:t>
      </w:r>
    </w:p>
    <w:p>
      <w:pPr>
        <w:spacing w:after="200" w:line="276" w:lineRule="auto"/>
      </w:pPr>
      <w:r>
        <w:t>⚠️ Exam Trap: Students swap the anticoagulant antidotes: Heparin → Protamine sulfate, but Warfarin → Vitamin K. Learn them as a pair.</w:t>
      </w:r>
    </w:p>
    <w:p>
      <w:pPr>
        <w:spacing w:after="200" w:line="276" w:lineRule="auto"/>
      </w:pPr>
      <w:r>
        <w:t>💎 PNC Pearl: Heparin is monitored by aPTT; its antidote is protamine sulfate.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Continuous bubbling in the water seal with a new chest tube suggests</w:t>
      </w:r>
    </w:p>
    <w:p>
      <w:pPr>
        <w:spacing w:after="200" w:line="276" w:lineRule="auto"/>
      </w:pPr>
      <w:r>
        <w:t>(a) Normal drainage</w:t>
      </w:r>
    </w:p>
    <w:p>
      <w:pPr>
        <w:spacing w:after="200" w:line="276" w:lineRule="auto"/>
      </w:pPr>
      <w:r>
        <w:t>(b) Clogged tube</w:t>
      </w:r>
    </w:p>
    <w:p>
      <w:pPr>
        <w:spacing w:after="200" w:line="276" w:lineRule="auto"/>
      </w:pPr>
      <w:r>
        <w:t>(c) Resolution of pneumothorax</w:t>
      </w:r>
    </w:p>
    <w:p>
      <w:pPr>
        <w:spacing w:after="200" w:line="276" w:lineRule="auto"/>
      </w:pPr>
      <w:r>
        <w:t>(d) A persistent air leak (bronchopleural fistula or connection issue)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persistent air leak (bronchopleural fistula or connection issue)</w:t>
      </w:r>
    </w:p>
    <w:p>
      <w:pPr>
        <w:spacing w:after="200" w:line="276" w:lineRule="auto"/>
      </w:pPr>
      <w:r>
        <w:t>🧠 Clinical Rationale: Assess the leak size, connections and patient status; notify if it worsens.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drainage — does not match the characteristic feature/management described in the stem</w:t>
      </w:r>
    </w:p>
    <w:p>
      <w:pPr>
        <w:spacing w:after="200" w:line="276" w:lineRule="auto"/>
      </w:pPr>
      <w:r>
        <w:t>B. Clogged tube — does not match the characteristic feature/management described in the stem</w:t>
      </w:r>
    </w:p>
    <w:p>
      <w:pPr>
        <w:spacing w:after="200" w:line="276" w:lineRule="auto"/>
      </w:pPr>
      <w:r>
        <w:t>C. Resolution of pneumothorax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Serotonin syndrome can be triggered by combining SSRIs with</w:t>
      </w:r>
    </w:p>
    <w:p>
      <w:pPr>
        <w:spacing w:after="200" w:line="276" w:lineRule="auto"/>
      </w:pPr>
      <w:r>
        <w:t>(a) Paracetamol</w:t>
      </w:r>
    </w:p>
    <w:p>
      <w:pPr>
        <w:spacing w:after="200" w:line="276" w:lineRule="auto"/>
      </w:pPr>
      <w:r>
        <w:t>(b) MAOIs or linezolid</w:t>
      </w:r>
    </w:p>
    <w:p>
      <w:pPr>
        <w:spacing w:after="200" w:line="276" w:lineRule="auto"/>
      </w:pPr>
      <w:r>
        <w:t>(c) PPIs</w:t>
      </w:r>
    </w:p>
    <w:p>
      <w:pPr>
        <w:spacing w:after="200" w:line="276" w:lineRule="auto"/>
      </w:pPr>
      <w:r>
        <w:t>(d) Statins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MAOIs or linezolid</w:t>
      </w:r>
    </w:p>
    <w:p>
      <w:pPr>
        <w:spacing w:after="200" w:line="276" w:lineRule="auto"/>
      </w:pPr>
      <w:r>
        <w:t>🧠 Clinical Rationale: Serotonergic stacking causes clonus, hyperthermia, agitation — stop the drugs.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Paracetamol — does not match the characteristic feature/management described in the stem</w:t>
      </w:r>
    </w:p>
    <w:p>
      <w:pPr>
        <w:spacing w:after="200" w:line="276" w:lineRule="auto"/>
      </w:pPr>
      <w:r>
        <w:t>C. PPIs — does not match the characteristic feature/management described in the stem</w:t>
      </w:r>
    </w:p>
    <w:p>
      <w:pPr>
        <w:spacing w:after="200" w:line="276" w:lineRule="auto"/>
      </w:pPr>
      <w:r>
        <w:t>D. Statins — does not match the characteristic feature/management described in the stem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Freezing damages which vaccines?</w:t>
      </w:r>
    </w:p>
    <w:p>
      <w:pPr>
        <w:spacing w:after="200" w:line="276" w:lineRule="auto"/>
      </w:pPr>
      <w:r>
        <w:t>(a) OPV and measles</w:t>
      </w:r>
    </w:p>
    <w:p>
      <w:pPr>
        <w:spacing w:after="200" w:line="276" w:lineRule="auto"/>
      </w:pPr>
      <w:r>
        <w:t>(b) All vaccines equally</w:t>
      </w:r>
    </w:p>
    <w:p>
      <w:pPr>
        <w:spacing w:after="200" w:line="276" w:lineRule="auto"/>
      </w:pPr>
      <w:r>
        <w:t>(c) No vaccine</w:t>
      </w:r>
    </w:p>
    <w:p>
      <w:pPr>
        <w:spacing w:after="200" w:line="276" w:lineRule="auto"/>
      </w:pPr>
      <w:r>
        <w:t>(d) DPT, hepatitis B and BCG (visible as clumping)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DPT, hepatitis B and BCG (visible as clumping)</w:t>
      </w:r>
    </w:p>
    <w:p>
      <w:pPr>
        <w:spacing w:after="200" w:line="276" w:lineRule="auto"/>
      </w:pPr>
      <w:r>
        <w:t>🧠 Clinical Rationale: Freeze-sensitive vaccines clump and lose potency — never freeze DPT/HepB.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OPV and measles — would be appropriate in a different situation, not this one</w:t>
      </w:r>
    </w:p>
    <w:p>
      <w:pPr>
        <w:spacing w:after="200" w:line="276" w:lineRule="auto"/>
      </w:pPr>
      <w:r>
        <w:t>B. All vaccines equally — would be appropriate in a different situation, not this one</w:t>
      </w:r>
    </w:p>
    <w:p>
      <w:pPr>
        <w:spacing w:after="200" w:line="276" w:lineRule="auto"/>
      </w:pPr>
      <w:r>
        <w:t>C. No vaccine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Board-like abdominal rigidity suggests</w:t>
      </w:r>
    </w:p>
    <w:p>
      <w:pPr>
        <w:spacing w:after="200" w:line="276" w:lineRule="auto"/>
      </w:pPr>
      <w:r>
        <w:t>(a) Generalised peritonitis (surgical emergency)</w:t>
      </w:r>
    </w:p>
    <w:p>
      <w:pPr>
        <w:spacing w:after="200" w:line="276" w:lineRule="auto"/>
      </w:pPr>
      <w:r>
        <w:t>(b) Simple constipation</w:t>
      </w:r>
    </w:p>
    <w:p>
      <w:pPr>
        <w:spacing w:after="200" w:line="276" w:lineRule="auto"/>
      </w:pPr>
      <w:r>
        <w:t>(c) Gas distension</w:t>
      </w:r>
    </w:p>
    <w:p>
      <w:pPr>
        <w:spacing w:after="200" w:line="276" w:lineRule="auto"/>
      </w:pPr>
      <w:r>
        <w:t>(d) Muscle strain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Generalised peritonitis (surgical emergency)</w:t>
      </w:r>
    </w:p>
    <w:p>
      <w:pPr>
        <w:spacing w:after="200" w:line="276" w:lineRule="auto"/>
      </w:pPr>
      <w:r>
        <w:t>🧠 Clinical Rationale: Rigidity = peritoneal irritation — NPO, IV fluids, urgent surgical review.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Rigidity — muscle / upper motor neuron sign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Simple constipation — does not match the characteristic feature/management described in the stem</w:t>
      </w:r>
    </w:p>
    <w:p>
      <w:pPr>
        <w:spacing w:after="200" w:line="276" w:lineRule="auto"/>
      </w:pPr>
      <w:r>
        <w:t>C. Gas distension — does not match the characteristic feature/management described in the stem</w:t>
      </w:r>
    </w:p>
    <w:p>
      <w:pPr>
        <w:spacing w:after="200" w:line="276" w:lineRule="auto"/>
      </w:pPr>
      <w:r>
        <w:t>D. Muscle strain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antidote for magnesium sulfate toxicity is</w:t>
      </w:r>
    </w:p>
    <w:p>
      <w:pPr>
        <w:spacing w:after="200" w:line="276" w:lineRule="auto"/>
      </w:pPr>
      <w:r>
        <w:t>(a) Naloxone</w:t>
      </w:r>
    </w:p>
    <w:p>
      <w:pPr>
        <w:spacing w:after="200" w:line="276" w:lineRule="auto"/>
      </w:pPr>
      <w:r>
        <w:t>(b) Flumazenil</w:t>
      </w:r>
    </w:p>
    <w:p>
      <w:pPr>
        <w:spacing w:after="200" w:line="276" w:lineRule="auto"/>
      </w:pPr>
      <w:r>
        <w:t>(c) IV calcium gluconate (10%)</w:t>
      </w:r>
    </w:p>
    <w:p>
      <w:pPr>
        <w:spacing w:after="200" w:line="276" w:lineRule="auto"/>
      </w:pPr>
      <w:r>
        <w:t>(d) Protamine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IV calcium gluconate (10%)</w:t>
      </w:r>
    </w:p>
    <w:p>
      <w:pPr>
        <w:spacing w:after="200" w:line="276" w:lineRule="auto"/>
      </w:pPr>
      <w:r>
        <w:t>🧠 Clinical Rationale: Calcium reverses Mg-induced respiratory depression and cardiac effects.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Naloxone — plausible, but not the single most accurate fact asked</w:t>
      </w:r>
    </w:p>
    <w:p>
      <w:pPr>
        <w:spacing w:after="200" w:line="276" w:lineRule="auto"/>
      </w:pPr>
      <w:r>
        <w:t>B. Flumazenil — plausible, but not the single most accurate fact asked</w:t>
      </w:r>
    </w:p>
    <w:p>
      <w:pPr>
        <w:spacing w:after="200" w:line="276" w:lineRule="auto"/>
      </w:pPr>
      <w:r>
        <w:t>D. Protamine — plausible, but not the single most accurate fact asked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treatment for a child in status epilepticus is</w:t>
      </w:r>
    </w:p>
    <w:p>
      <w:pPr>
        <w:spacing w:after="200" w:line="276" w:lineRule="auto"/>
      </w:pPr>
      <w:r>
        <w:t>(a) Oral carbamazepine</w:t>
      </w:r>
    </w:p>
    <w:p>
      <w:pPr>
        <w:spacing w:after="200" w:line="276" w:lineRule="auto"/>
      </w:pPr>
      <w:r>
        <w:t>(b) IV/IM benzodiazepine (lorazepam/diazepam/midazolam)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IV fluids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IV/IM benzodiazepine (lorazepam/diazepam/midazolam)</w:t>
      </w:r>
    </w:p>
    <w:p>
      <w:pPr>
        <w:spacing w:after="200" w:line="276" w:lineRule="auto"/>
      </w:pPr>
      <w:r>
        <w:t>🧠 Clinical Rationale: Benzodiazepines stop the seizure; give a loading anticonvulsant after.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Paediatric - Seizure First-Line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IV/IM benzodiazepine (lorazepam/diazepam/midazolam)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carbamazepine — does not address the immediate life-threatening problem (ABC comes first)</w:t>
      </w:r>
    </w:p>
    <w:p>
      <w:pPr>
        <w:spacing w:after="200" w:line="276" w:lineRule="auto"/>
      </w:pPr>
      <w:r>
        <w:t>C. Observation — does not address the immediate life-threatening problem (ABC comes first)</w:t>
      </w:r>
    </w:p>
    <w:p>
      <w:pPr>
        <w:spacing w:after="200" w:line="276" w:lineRule="auto"/>
      </w:pPr>
      <w:r>
        <w:t>D. IV fluids only — does not address the immediate life-threatening problem (ABC comes first)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indication for urgent dialysis in AKI is</w:t>
      </w:r>
    </w:p>
    <w:p>
      <w:pPr>
        <w:spacing w:after="200" w:line="276" w:lineRule="auto"/>
      </w:pPr>
      <w:r>
        <w:t>(a) Mild creatinine rise</w:t>
      </w:r>
    </w:p>
    <w:p>
      <w:pPr>
        <w:spacing w:after="200" w:line="276" w:lineRule="auto"/>
      </w:pPr>
      <w:r>
        <w:t>(b) Normal potassium</w:t>
      </w:r>
    </w:p>
    <w:p>
      <w:pPr>
        <w:spacing w:after="200" w:line="276" w:lineRule="auto"/>
      </w:pPr>
      <w:r>
        <w:t>(c) Refractory hyperkalaemia, severe uraemia, fluid overload or acidosis</w:t>
      </w:r>
    </w:p>
    <w:p>
      <w:pPr>
        <w:spacing w:after="200" w:line="276" w:lineRule="auto"/>
      </w:pPr>
      <w:r>
        <w:t>(d) Polyuria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Refractory hyperkalaemia, severe uraemia, fluid overload or acidosis</w:t>
      </w:r>
    </w:p>
    <w:p>
      <w:pPr>
        <w:spacing w:after="200" w:line="276" w:lineRule="auto"/>
      </w:pPr>
      <w:r>
        <w:t>🧠 Clinical Rationale: AEIOU mnemonic guides dialysis initiation in acute kidney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creatinine rise — does not match the characteristic feature/management described in the stem</w:t>
      </w:r>
    </w:p>
    <w:p>
      <w:pPr>
        <w:spacing w:after="200" w:line="276" w:lineRule="auto"/>
      </w:pPr>
      <w:r>
        <w:t>B. Normal potassium — does not match the characteristic feature/management described in the stem</w:t>
      </w:r>
    </w:p>
    <w:p>
      <w:pPr>
        <w:spacing w:after="200" w:line="276" w:lineRule="auto"/>
      </w:pPr>
      <w:r>
        <w:t>D. Polyuria — does not match the characteristic feature/management described in the stem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Dialysis</w:t>
      </w:r>
    </w:p>
    <w:p>
      <w:pPr>
        <w:spacing w:after="200" w:line="276" w:lineRule="auto"/>
      </w:pPr>
      <w:r>
        <w:t>→ Access: AV fistula/graft (arm), central catheter</w:t>
      </w:r>
    </w:p>
    <w:p>
      <w:pPr>
        <w:spacing w:after="200" w:line="276" w:lineRule="auto"/>
      </w:pPr>
      <w:r>
        <w:t>→ Fistula care: thrill/bruit check, no BP/IV on that arm, avoid tight sleeves</w:t>
      </w:r>
    </w:p>
    <w:p>
      <w:pPr>
        <w:spacing w:after="200" w:line="276" w:lineRule="auto"/>
      </w:pPr>
      <w:r>
        <w:t>→ HD: rapid fluid/electrolyte shifts → monitor for hypotension, cramps</w:t>
      </w:r>
    </w:p>
    <w:p>
      <w:pPr>
        <w:spacing w:after="200" w:line="276" w:lineRule="auto"/>
      </w:pPr>
      <w:r>
        <w:t>→ PD: aseptic technique, inspect catheter site, watch for peritonitis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restrained patient must be checked and released at least every</w:t>
      </w:r>
    </w:p>
    <w:p>
      <w:pPr>
        <w:spacing w:after="200" w:line="276" w:lineRule="auto"/>
      </w:pPr>
      <w:r>
        <w:t>(a) 2 hours (with documentation of circulation and behaviour)</w:t>
      </w:r>
    </w:p>
    <w:p>
      <w:pPr>
        <w:spacing w:after="200" w:line="276" w:lineRule="auto"/>
      </w:pPr>
      <w:r>
        <w:t>(b) 12 hours</w:t>
      </w:r>
    </w:p>
    <w:p>
      <w:pPr>
        <w:spacing w:after="200" w:line="276" w:lineRule="auto"/>
      </w:pPr>
      <w:r>
        <w:t>(c) 24 hours</w:t>
      </w:r>
    </w:p>
    <w:p>
      <w:pPr>
        <w:spacing w:after="200" w:line="276" w:lineRule="auto"/>
      </w:pPr>
      <w:r>
        <w:t>(d) Once per shift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 hours (with documentation of circulation and behaviour)</w:t>
      </w:r>
    </w:p>
    <w:p>
      <w:pPr>
        <w:spacing w:after="200" w:line="276" w:lineRule="auto"/>
      </w:pPr>
      <w:r>
        <w:t>🧠 Clinical Rationale: Frequent checks, removal for repositioning and reassessment are mandatory.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12 hours — would be appropriate in a different situation, not this one</w:t>
      </w:r>
    </w:p>
    <w:p>
      <w:pPr>
        <w:spacing w:after="200" w:line="276" w:lineRule="auto"/>
      </w:pPr>
      <w:r>
        <w:t>C. 24 hours — would be appropriate in a different situation, not this one</w:t>
      </w:r>
    </w:p>
    <w:p>
      <w:pPr>
        <w:spacing w:after="200" w:line="276" w:lineRule="auto"/>
      </w:pPr>
      <w:r>
        <w:t>D. Once per shift — would be appropriate in a different situation, not this one</w:t>
      </w:r>
    </w:p>
    <w:p>
      <w:pPr>
        <w:spacing w:after="200" w:line="276" w:lineRule="auto"/>
      </w:pPr>
      <w:r>
        <w:t>⚠️ Exam Trap: Restraint rules: physician order within 1 hour, reassess q2h, release/exercise q2h, document — never use restraints for staff convenience.</w:t>
      </w:r>
    </w:p>
    <w:p>
      <w:pPr>
        <w:spacing w:after="200" w:line="276" w:lineRule="auto"/>
      </w:pPr>
      <w:r>
        <w:t>💎 PNC Pearl: Restraints are a LAST resort: physician order, least restrictive, release every 2 hours and check the patient every 15 minutes.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Disease ELIMINATION means</w:t>
      </w:r>
    </w:p>
    <w:p>
      <w:pPr>
        <w:spacing w:after="200" w:line="276" w:lineRule="auto"/>
      </w:pPr>
      <w:r>
        <w:t>(a) Zero cases in a defined geographical area (e.g., yaws, leprosy targets)</w:t>
      </w:r>
    </w:p>
    <w:p>
      <w:pPr>
        <w:spacing w:after="200" w:line="276" w:lineRule="auto"/>
      </w:pPr>
      <w:r>
        <w:t>(b) Global zero forever</w:t>
      </w:r>
    </w:p>
    <w:p>
      <w:pPr>
        <w:spacing w:after="200" w:line="276" w:lineRule="auto"/>
      </w:pPr>
      <w:r>
        <w:t>(c) Reduced symptoms</w:t>
      </w:r>
    </w:p>
    <w:p>
      <w:pPr>
        <w:spacing w:after="200" w:line="276" w:lineRule="auto"/>
      </w:pPr>
      <w:r>
        <w:t>(d) Better treatment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Zero cases in a defined geographical area (e.g., yaws, leprosy targets)</w:t>
      </w:r>
    </w:p>
    <w:p>
      <w:pPr>
        <w:spacing w:after="200" w:line="276" w:lineRule="auto"/>
      </w:pPr>
      <w:r>
        <w:t>🧠 Clinical Rationale: Elimination = regional zero; eradication = worldwide zero (smallpox).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Global zero forever — plausible, but not the single most accurate fact asked</w:t>
      </w:r>
    </w:p>
    <w:p>
      <w:pPr>
        <w:spacing w:after="200" w:line="276" w:lineRule="auto"/>
      </w:pPr>
      <w:r>
        <w:t>C. Reduced symptoms — plausible, but not the single most accurate fact asked</w:t>
      </w:r>
    </w:p>
    <w:p>
      <w:pPr>
        <w:spacing w:after="200" w:line="276" w:lineRule="auto"/>
      </w:pPr>
      <w:r>
        <w:t>D. Better treatment only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hypertensive emergency with pulmonary oedema is treated with</w:t>
      </w:r>
    </w:p>
    <w:p>
      <w:pPr>
        <w:spacing w:after="200" w:line="276" w:lineRule="auto"/>
      </w:pPr>
      <w:r>
        <w:t>(a) Oral nifedipine bite</w:t>
      </w:r>
    </w:p>
    <w:p>
      <w:pPr>
        <w:spacing w:after="200" w:line="276" w:lineRule="auto"/>
      </w:pPr>
      <w:r>
        <w:t>(b) Propranolol IV</w:t>
      </w:r>
    </w:p>
    <w:p>
      <w:pPr>
        <w:spacing w:after="200" w:line="276" w:lineRule="auto"/>
      </w:pPr>
      <w:r>
        <w:t>(c) IV vasodilators (nitroglycerin/nitroprusside) with close BP monitoring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IV vasodilators (nitroglycerin/nitroprusside) with close BP monitoring</w:t>
      </w:r>
    </w:p>
    <w:p>
      <w:pPr>
        <w:spacing w:after="200" w:line="276" w:lineRule="auto"/>
      </w:pPr>
      <w:r>
        <w:t>🧠 Clinical Rationale: Rapidly titratable IV agents lower BP safely; avoid sublingual nifedipine.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Oedema — fluid retention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nifedipine bite — would be appropriate in a different situation, not this one</w:t>
      </w:r>
    </w:p>
    <w:p>
      <w:pPr>
        <w:spacing w:after="200" w:line="276" w:lineRule="auto"/>
      </w:pPr>
      <w:r>
        <w:t>B. Propranolol IV — would be appropriate in a different situation, not this one</w:t>
      </w:r>
    </w:p>
    <w:p>
      <w:pPr>
        <w:spacing w:after="200" w:line="276" w:lineRule="auto"/>
      </w:pPr>
      <w:r>
        <w:t>D. No treatment — would be appropriate in a different situation, not this one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Fluid overload</w:t>
      </w:r>
    </w:p>
    <w:p>
      <w:pPr>
        <w:spacing w:after="200" w:line="276" w:lineRule="auto"/>
      </w:pPr>
      <w:r>
        <w:t>→ Clues: weight gain, oedema, crackles, dyspnoea, JVD, hypertension</w:t>
      </w:r>
    </w:p>
    <w:p>
      <w:pPr>
        <w:spacing w:after="200" w:line="276" w:lineRule="auto"/>
      </w:pPr>
      <w:r>
        <w:t>→ Monitor: daily weight, I/O, urine output, breath sounds</w:t>
      </w:r>
    </w:p>
    <w:p>
      <w:pPr>
        <w:spacing w:after="200" w:line="276" w:lineRule="auto"/>
      </w:pPr>
      <w:r>
        <w:t>→ Management: diuretics, sodium/fluid restriction, elevate legs</w:t>
      </w:r>
    </w:p>
    <w:p>
      <w:pPr>
        <w:spacing w:after="200" w:line="276" w:lineRule="auto"/>
      </w:pPr>
      <w:r>
        <w:t>→ Causes: HF, renal failure, excessive IV fluids, cirrhosis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suspected placenta praevia, which is CONTRAINDICATED?</w:t>
      </w:r>
    </w:p>
    <w:p>
      <w:pPr>
        <w:spacing w:after="200" w:line="276" w:lineRule="auto"/>
      </w:pPr>
      <w:r>
        <w:t>(a) Vaginal examination</w:t>
      </w:r>
    </w:p>
    <w:p>
      <w:pPr>
        <w:spacing w:after="200" w:line="276" w:lineRule="auto"/>
      </w:pPr>
      <w:r>
        <w:t>(b) Ultrasound</w:t>
      </w:r>
    </w:p>
    <w:p>
      <w:pPr>
        <w:spacing w:after="200" w:line="276" w:lineRule="auto"/>
      </w:pPr>
      <w:r>
        <w:t>(c) IV access</w:t>
      </w:r>
    </w:p>
    <w:p>
      <w:pPr>
        <w:spacing w:after="200" w:line="276" w:lineRule="auto"/>
      </w:pPr>
      <w:r>
        <w:t>(d) Blood cross-match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Vaginal examination</w:t>
      </w:r>
    </w:p>
    <w:p>
      <w:pPr>
        <w:spacing w:after="200" w:line="276" w:lineRule="auto"/>
      </w:pPr>
      <w:r>
        <w:t>🧠 Clinical Rationale: Vaginal exam can trigger catastrophic haemorrhage — image first.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Placenta Praevia - Prohibition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Vaginal examination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Ultrasound — diagnostic step — diagnosis comes after stabilization</w:t>
      </w:r>
    </w:p>
    <w:p>
      <w:pPr>
        <w:spacing w:after="200" w:line="276" w:lineRule="auto"/>
      </w:pPr>
      <w:r>
        <w:t>C. IV access — does not address the immediate life-threatening problem (ABC comes first)</w:t>
      </w:r>
    </w:p>
    <w:p>
      <w:pPr>
        <w:spacing w:after="200" w:line="276" w:lineRule="auto"/>
      </w:pPr>
      <w:r>
        <w:t>D. Blood cross-match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phototherapy, the nurse should</w:t>
      </w:r>
    </w:p>
    <w:p>
      <w:pPr>
        <w:spacing w:after="200" w:line="276" w:lineRule="auto"/>
      </w:pPr>
      <w:r>
        <w:t>(a) Remove all clothing in cold rooms</w:t>
      </w:r>
    </w:p>
    <w:p>
      <w:pPr>
        <w:spacing w:after="200" w:line="276" w:lineRule="auto"/>
      </w:pPr>
      <w:r>
        <w:t>(b) Stop breastfeeding</w:t>
      </w:r>
    </w:p>
    <w:p>
      <w:pPr>
        <w:spacing w:after="200" w:line="276" w:lineRule="auto"/>
      </w:pPr>
      <w:r>
        <w:t>(c) Use oil on the skin</w:t>
      </w:r>
    </w:p>
    <w:p>
      <w:pPr>
        <w:spacing w:after="200" w:line="276" w:lineRule="auto"/>
      </w:pPr>
      <w:r>
        <w:t>(d) Protect the eyes, monitor temperature/hydration and observe skin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Protect the eyes, monitor temperature/hydration and observe skin</w:t>
      </w:r>
    </w:p>
    <w:p>
      <w:pPr>
        <w:spacing w:after="200" w:line="276" w:lineRule="auto"/>
      </w:pPr>
      <w:r>
        <w:t>🧠 Clinical Rationale: Eye shields, temperature and hydration monitoring prevent complications.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Remove all clothing in cold rooms — would be appropriate in a different situation, not this one</w:t>
      </w:r>
    </w:p>
    <w:p>
      <w:pPr>
        <w:spacing w:after="200" w:line="276" w:lineRule="auto"/>
      </w:pPr>
      <w:r>
        <w:t>B. Stop breastfeeding — would be appropriate in a different situation, not this one</w:t>
      </w:r>
    </w:p>
    <w:p>
      <w:pPr>
        <w:spacing w:after="200" w:line="276" w:lineRule="auto"/>
      </w:pPr>
      <w:r>
        <w:t>C. Use oil on the skin — would be appropriate in a different situation, not this one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first-line mood stabiliser for acute mania is</w:t>
      </w:r>
    </w:p>
    <w:p>
      <w:pPr>
        <w:spacing w:after="200" w:line="276" w:lineRule="auto"/>
      </w:pPr>
      <w:r>
        <w:t>(a) SSRIs</w:t>
      </w:r>
    </w:p>
    <w:p>
      <w:pPr>
        <w:spacing w:after="200" w:line="276" w:lineRule="auto"/>
      </w:pPr>
      <w:r>
        <w:t>(b) Lithium or an atypical antipsychotic (per guidelines)</w:t>
      </w:r>
    </w:p>
    <w:p>
      <w:pPr>
        <w:spacing w:after="200" w:line="276" w:lineRule="auto"/>
      </w:pPr>
      <w:r>
        <w:t>(c) Benzodiazepines long-term</w:t>
      </w:r>
    </w:p>
    <w:p>
      <w:pPr>
        <w:spacing w:after="200" w:line="276" w:lineRule="auto"/>
      </w:pPr>
      <w:r>
        <w:t>(d) Stimulants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Lithium or an atypical antipsychotic (per guidelines)</w:t>
      </w:r>
    </w:p>
    <w:p>
      <w:pPr>
        <w:spacing w:after="200" w:line="276" w:lineRule="auto"/>
      </w:pPr>
      <w:r>
        <w:t>🧠 Clinical Rationale: Lithium, valproate or antipsychotics treat mania; taper and maintain.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SSRIs — would be appropriate in a different situation, not this one</w:t>
      </w:r>
    </w:p>
    <w:p>
      <w:pPr>
        <w:spacing w:after="200" w:line="276" w:lineRule="auto"/>
      </w:pPr>
      <w:r>
        <w:t>C. Benzodiazepines long-term — would be appropriate in a different situation, not this one</w:t>
      </w:r>
    </w:p>
    <w:p>
      <w:pPr>
        <w:spacing w:after="200" w:line="276" w:lineRule="auto"/>
      </w:pPr>
      <w:r>
        <w:t>D. Stimulants — would be appropriate in a different situation, not this one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Organ dysfunction in sepsis is indicated by</w:t>
      </w:r>
    </w:p>
    <w:p>
      <w:pPr>
        <w:spacing w:after="200" w:line="276" w:lineRule="auto"/>
      </w:pPr>
      <w:r>
        <w:t>(a) Normal vitals</w:t>
      </w:r>
    </w:p>
    <w:p>
      <w:pPr>
        <w:spacing w:after="200" w:line="276" w:lineRule="auto"/>
      </w:pPr>
      <w:r>
        <w:t>(b) Weight gain</w:t>
      </w:r>
    </w:p>
    <w:p>
      <w:pPr>
        <w:spacing w:after="200" w:line="276" w:lineRule="auto"/>
      </w:pPr>
      <w:r>
        <w:t>(c) Polyuria</w:t>
      </w:r>
    </w:p>
    <w:p>
      <w:pPr>
        <w:spacing w:after="200" w:line="276" w:lineRule="auto"/>
      </w:pPr>
      <w:r>
        <w:t>(d) Rising lactate, falling platelets, rising creatinine and altered consciousness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Rising lactate, falling platelets, rising creatinine and altered consciousness</w:t>
      </w:r>
    </w:p>
    <w:p>
      <w:pPr>
        <w:spacing w:after="200" w:line="276" w:lineRule="auto"/>
      </w:pPr>
      <w:r>
        <w:t>🧠 Clinical Rationale: SOFA scoring captures organ failure; qSOFA screens at the bedside.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vitals — does not match the characteristic feature/management described in the stem</w:t>
      </w:r>
    </w:p>
    <w:p>
      <w:pPr>
        <w:spacing w:after="200" w:line="276" w:lineRule="auto"/>
      </w:pPr>
      <w:r>
        <w:t>B. Weight gain — does not match the characteristic feature/management described in the stem</w:t>
      </w:r>
    </w:p>
    <w:p>
      <w:pPr>
        <w:spacing w:after="200" w:line="276" w:lineRule="auto"/>
      </w:pPr>
      <w:r>
        <w:t>C. Polyuria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One of the WHO five moments for hand hygiene is</w:t>
      </w:r>
    </w:p>
    <w:p>
      <w:pPr>
        <w:spacing w:after="200" w:line="276" w:lineRule="auto"/>
      </w:pPr>
      <w:r>
        <w:t>(a) Before an aseptic procedure</w:t>
      </w:r>
    </w:p>
    <w:p>
      <w:pPr>
        <w:spacing w:after="200" w:line="276" w:lineRule="auto"/>
      </w:pPr>
      <w:r>
        <w:t>(b) After meals only</w:t>
      </w:r>
    </w:p>
    <w:p>
      <w:pPr>
        <w:spacing w:after="200" w:line="276" w:lineRule="auto"/>
      </w:pPr>
      <w:r>
        <w:t>(c) Only on arrival</w:t>
      </w:r>
    </w:p>
    <w:p>
      <w:pPr>
        <w:spacing w:after="200" w:line="276" w:lineRule="auto"/>
      </w:pPr>
      <w:r>
        <w:t>(d) Once a shift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Before an aseptic procedure</w:t>
      </w:r>
    </w:p>
    <w:p>
      <w:pPr>
        <w:spacing w:after="200" w:line="276" w:lineRule="auto"/>
      </w:pPr>
      <w:r>
        <w:t>🧠 Clinical Rationale: Five moments: before patient contact, before aseptic task, after body-fluid exposure, after patient contact, after surroundings.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After meals only — plausible, but not the single most accurate fact asked</w:t>
      </w:r>
    </w:p>
    <w:p>
      <w:pPr>
        <w:spacing w:after="200" w:line="276" w:lineRule="auto"/>
      </w:pPr>
      <w:r>
        <w:t>C. Only on arrival — plausible, but not the single most accurate fact asked</w:t>
      </w:r>
    </w:p>
    <w:p>
      <w:pPr>
        <w:spacing w:after="200" w:line="276" w:lineRule="auto"/>
      </w:pPr>
      <w:r>
        <w:t>D. Once a shift — plausible, but not the single most accurate fact asked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Ready-to-use therapeutic food (RUTF) is used for</w:t>
      </w:r>
    </w:p>
    <w:p>
      <w:pPr>
        <w:spacing w:after="200" w:line="276" w:lineRule="auto"/>
      </w:pPr>
      <w:r>
        <w:t>(a) All hospital patients</w:t>
      </w:r>
    </w:p>
    <w:p>
      <w:pPr>
        <w:spacing w:after="200" w:line="276" w:lineRule="auto"/>
      </w:pPr>
      <w:r>
        <w:t>(b) Adults with obesity</w:t>
      </w:r>
    </w:p>
    <w:p>
      <w:pPr>
        <w:spacing w:after="200" w:line="276" w:lineRule="auto"/>
      </w:pPr>
      <w:r>
        <w:t>(c) Only emergencies</w:t>
      </w:r>
    </w:p>
    <w:p>
      <w:pPr>
        <w:spacing w:after="200" w:line="276" w:lineRule="auto"/>
      </w:pPr>
      <w:r>
        <w:t>(d) Uncomplicated severe acute malnutrition at home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Uncomplicated severe acute malnutrition at home</w:t>
      </w:r>
    </w:p>
    <w:p>
      <w:pPr>
        <w:spacing w:after="200" w:line="276" w:lineRule="auto"/>
      </w:pPr>
      <w:r>
        <w:t>🧠 Clinical Rationale: RUTF (e.g., peanut paste) treats uncomplicated SAM in the community.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hospital patients — would be appropriate in a different situation, not this one</w:t>
      </w:r>
    </w:p>
    <w:p>
      <w:pPr>
        <w:spacing w:after="200" w:line="276" w:lineRule="auto"/>
      </w:pPr>
      <w:r>
        <w:t>B. Adults with obesity — would be appropriate in a different situation, not this one</w:t>
      </w:r>
    </w:p>
    <w:p>
      <w:pPr>
        <w:spacing w:after="200" w:line="276" w:lineRule="auto"/>
      </w:pPr>
      <w:r>
        <w:t>C. Only emergencies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Lactulose is used in hepatic encephalopathy to</w:t>
      </w:r>
    </w:p>
    <w:p>
      <w:pPr>
        <w:spacing w:after="200" w:line="276" w:lineRule="auto"/>
      </w:pPr>
      <w:r>
        <w:t>(a) Raise blood sugar</w:t>
      </w:r>
    </w:p>
    <w:p>
      <w:pPr>
        <w:spacing w:after="200" w:line="276" w:lineRule="auto"/>
      </w:pPr>
      <w:r>
        <w:t>(b) Drain ascites</w:t>
      </w:r>
    </w:p>
    <w:p>
      <w:pPr>
        <w:spacing w:after="200" w:line="276" w:lineRule="auto"/>
      </w:pPr>
      <w:r>
        <w:t>(c) Reduce ammonia by acidifying the colon and increasing stool output</w:t>
      </w:r>
    </w:p>
    <w:p>
      <w:pPr>
        <w:spacing w:after="200" w:line="276" w:lineRule="auto"/>
      </w:pPr>
      <w:r>
        <w:t>(d) Increase protein absorption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Reduce ammonia by acidifying the colon and increasing stool output</w:t>
      </w:r>
    </w:p>
    <w:p>
      <w:pPr>
        <w:spacing w:after="200" w:line="276" w:lineRule="auto"/>
      </w:pPr>
      <w:r>
        <w:t>🧠 Clinical Rationale: Lactulose traps ammonia in the gut — titrate to 2-3 soft stools daily.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Raise blood sugar — would be appropriate in a different situation, not this one</w:t>
      </w:r>
    </w:p>
    <w:p>
      <w:pPr>
        <w:spacing w:after="200" w:line="276" w:lineRule="auto"/>
      </w:pPr>
      <w:r>
        <w:t>B. Drain ascites — would be appropriate in a different situation, not this one</w:t>
      </w:r>
    </w:p>
    <w:p>
      <w:pPr>
        <w:spacing w:after="200" w:line="276" w:lineRule="auto"/>
      </w:pPr>
      <w:r>
        <w:t>D. Increase protein absorption — would be appropriate in a different situation, not this one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