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full bladder after delivery can cause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Mastitis</w:t>
      </w:r>
    </w:p>
    <w:p>
      <w:pPr>
        <w:spacing w:after="200" w:line="276" w:lineRule="auto"/>
      </w:pPr>
      <w:r>
        <w:t>(c) Uterine displacement and increased bleeding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Uterine displacement and increased bleeding</w:t>
      </w:r>
    </w:p>
    <w:p>
      <w:pPr>
        <w:spacing w:after="200" w:line="276" w:lineRule="auto"/>
      </w:pPr>
      <w:r>
        <w:t>🧠 Clinical Rationale: Encourage voiding — a distended bladder interferes with uterine contraction.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does not match the characteristic feature/management described in the stem</w:t>
      </w:r>
    </w:p>
    <w:p>
      <w:pPr>
        <w:spacing w:after="200" w:line="276" w:lineRule="auto"/>
      </w:pPr>
      <w:r>
        <w:t>B. Mastitis — does not match the characteristic feature/management described in the stem</w:t>
      </w:r>
    </w:p>
    <w:p>
      <w:pPr>
        <w:spacing w:after="200" w:line="276" w:lineRule="auto"/>
      </w:pPr>
      <w:r>
        <w:t>D. Fever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Japanese encephalitis vaccine is included in the UIP for</w:t>
      </w:r>
    </w:p>
    <w:p>
      <w:pPr>
        <w:spacing w:after="200" w:line="276" w:lineRule="auto"/>
      </w:pPr>
      <w:r>
        <w:t>(a) Endemic districts (given with measles from 9 months)</w:t>
      </w:r>
    </w:p>
    <w:p>
      <w:pPr>
        <w:spacing w:after="200" w:line="276" w:lineRule="auto"/>
      </w:pPr>
      <w:r>
        <w:t>(b) All children at birth</w:t>
      </w:r>
    </w:p>
    <w:p>
      <w:pPr>
        <w:spacing w:after="200" w:line="276" w:lineRule="auto"/>
      </w:pPr>
      <w:r>
        <w:t>(c) Only adults</w:t>
      </w:r>
    </w:p>
    <w:p>
      <w:pPr>
        <w:spacing w:after="200" w:line="276" w:lineRule="auto"/>
      </w:pPr>
      <w:r>
        <w:t>(d) Only travellers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Endemic districts (given with measles from 9 months)</w:t>
      </w:r>
    </w:p>
    <w:p>
      <w:pPr>
        <w:spacing w:after="200" w:line="276" w:lineRule="auto"/>
      </w:pPr>
      <w:r>
        <w:t>🧠 Clinical Rationale: JE vaccine is given in endemic areas per the UIP.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children at birth — plausible, but not the single most accurate fact asked</w:t>
      </w:r>
    </w:p>
    <w:p>
      <w:pPr>
        <w:spacing w:after="200" w:line="276" w:lineRule="auto"/>
      </w:pPr>
      <w:r>
        <w:t>C. Only adults — plausible, but not the single most accurate fact asked</w:t>
      </w:r>
    </w:p>
    <w:p>
      <w:pPr>
        <w:spacing w:after="200" w:line="276" w:lineRule="auto"/>
      </w:pPr>
      <w:r>
        <w:t>D. Only travellers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Haematemesis with coffee-ground appearance suggests</w:t>
      </w:r>
    </w:p>
    <w:p>
      <w:pPr>
        <w:spacing w:after="200" w:line="276" w:lineRule="auto"/>
      </w:pPr>
      <w:r>
        <w:t>(a) Lower GI bleeding</w:t>
      </w:r>
    </w:p>
    <w:p>
      <w:pPr>
        <w:spacing w:after="200" w:line="276" w:lineRule="auto"/>
      </w:pPr>
      <w:r>
        <w:t>(b) Haemoptysis</w:t>
      </w:r>
    </w:p>
    <w:p>
      <w:pPr>
        <w:spacing w:after="200" w:line="276" w:lineRule="auto"/>
      </w:pPr>
      <w:r>
        <w:t>(c) Food poisoning</w:t>
      </w:r>
    </w:p>
    <w:p>
      <w:pPr>
        <w:spacing w:after="200" w:line="276" w:lineRule="auto"/>
      </w:pPr>
      <w:r>
        <w:t>(d) Upper GI bleeding (digested blood)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Upper GI bleeding (digested blood)</w:t>
      </w:r>
    </w:p>
    <w:p>
      <w:pPr>
        <w:spacing w:after="200" w:line="276" w:lineRule="auto"/>
      </w:pPr>
      <w:r>
        <w:t>🧠 Clinical Rationale: Coffee-ground vomit = upper GI bleed — resuscitate and scope.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 GI bleeding — does not match the characteristic feature/management described in the stem</w:t>
      </w:r>
    </w:p>
    <w:p>
      <w:pPr>
        <w:spacing w:after="200" w:line="276" w:lineRule="auto"/>
      </w:pPr>
      <w:r>
        <w:t>B. Haemoptysis — does not match the characteristic feature/management described in the stem</w:t>
      </w:r>
    </w:p>
    <w:p>
      <w:pPr>
        <w:spacing w:after="200" w:line="276" w:lineRule="auto"/>
      </w:pPr>
      <w:r>
        <w:t>C. Food poisoning — does not match the characteristic feature/management described in the stem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Peptic ulcer</w:t>
      </w:r>
    </w:p>
    <w:p>
      <w:pPr>
        <w:spacing w:after="200" w:line="276" w:lineRule="auto"/>
      </w:pPr>
      <w:r>
        <w:t>→ Cause: H. pylori, NSAIDs, smoking, stress</w:t>
      </w:r>
    </w:p>
    <w:p>
      <w:pPr>
        <w:spacing w:after="200" w:line="276" w:lineRule="auto"/>
      </w:pPr>
      <w:r>
        <w:t>→ Triple therapy: PPI + Amoxicillin + Clarithromycin (+ metronidazole alternative)</w:t>
      </w:r>
    </w:p>
    <w:p>
      <w:pPr>
        <w:spacing w:after="200" w:line="276" w:lineRule="auto"/>
      </w:pPr>
      <w:r>
        <w:t>→ Pain relieved by food in duodenal ulcer; worse with food in gastric ulcer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admitted involuntarily retains the right to</w:t>
      </w:r>
    </w:p>
    <w:p>
      <w:pPr>
        <w:spacing w:after="200" w:line="276" w:lineRule="auto"/>
      </w:pPr>
      <w:r>
        <w:t>(a) Leave whenever they want</w:t>
      </w:r>
    </w:p>
    <w:p>
      <w:pPr>
        <w:spacing w:after="200" w:line="276" w:lineRule="auto"/>
      </w:pPr>
      <w:r>
        <w:t>(b) Refuse all contact</w:t>
      </w:r>
    </w:p>
    <w:p>
      <w:pPr>
        <w:spacing w:after="200" w:line="276" w:lineRule="auto"/>
      </w:pPr>
      <w:r>
        <w:t>(c) No rights</w:t>
      </w:r>
    </w:p>
    <w:p>
      <w:pPr>
        <w:spacing w:after="200" w:line="276" w:lineRule="auto"/>
      </w:pPr>
      <w:r>
        <w:t>(d) Confidentiality, treatment and appeal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Confidentiality, treatment and appeal</w:t>
      </w:r>
    </w:p>
    <w:p>
      <w:pPr>
        <w:spacing w:after="200" w:line="276" w:lineRule="auto"/>
      </w:pPr>
      <w:r>
        <w:t>🧠 Clinical Rationale: Rights-based care under the Mental Healthcare Act 2017.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 whenever they want — would be appropriate in a different situation, not this one</w:t>
      </w:r>
    </w:p>
    <w:p>
      <w:pPr>
        <w:spacing w:after="200" w:line="276" w:lineRule="auto"/>
      </w:pPr>
      <w:r>
        <w:t>B. Refuse all contact — would be appropriate in a different situation, not this one</w:t>
      </w:r>
    </w:p>
    <w:p>
      <w:pPr>
        <w:spacing w:after="200" w:line="276" w:lineRule="auto"/>
      </w:pPr>
      <w:r>
        <w:t>C. No rights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transfusion, the nurse verifies the blood unit with</w:t>
      </w:r>
    </w:p>
    <w:p>
      <w:pPr>
        <w:spacing w:after="200" w:line="276" w:lineRule="auto"/>
      </w:pPr>
      <w:r>
        <w:t>(a) Only the blood type</w:t>
      </w:r>
    </w:p>
    <w:p>
      <w:pPr>
        <w:spacing w:after="200" w:line="276" w:lineRule="auto"/>
      </w:pPr>
      <w:r>
        <w:t>(b) Two identifiers against the prescription and compatibility label</w:t>
      </w:r>
    </w:p>
    <w:p>
      <w:pPr>
        <w:spacing w:after="200" w:line="276" w:lineRule="auto"/>
      </w:pPr>
      <w:r>
        <w:t>(c) The ward name</w:t>
      </w:r>
    </w:p>
    <w:p>
      <w:pPr>
        <w:spacing w:after="200" w:line="276" w:lineRule="auto"/>
      </w:pPr>
      <w:r>
        <w:t>(d) Visual inspection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Two identifiers against the prescription and compatibility label</w:t>
      </w:r>
    </w:p>
    <w:p>
      <w:pPr>
        <w:spacing w:after="200" w:line="276" w:lineRule="auto"/>
      </w:pPr>
      <w:r>
        <w:t>🧠 Clinical Rationale: Bedside checks prevent ABO-incompatible transfusions.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Transfusion - Unit Check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Two identifiers against the prescription and compatibility label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blood type — does not address the immediate life-threatening problem (ABC comes first)</w:t>
      </w:r>
    </w:p>
    <w:p>
      <w:pPr>
        <w:spacing w:after="200" w:line="276" w:lineRule="auto"/>
      </w:pPr>
      <w:r>
        <w:t>C. The ward name — does not address the immediate life-threatening problem (ABC comes first)</w:t>
      </w:r>
    </w:p>
    <w:p>
      <w:pPr>
        <w:spacing w:after="200" w:line="276" w:lineRule="auto"/>
      </w:pPr>
      <w:r>
        <w:t>D. Visual inspection only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ICDS provides</w:t>
      </w:r>
    </w:p>
    <w:p>
      <w:pPr>
        <w:spacing w:after="200" w:line="276" w:lineRule="auto"/>
      </w:pPr>
      <w:r>
        <w:t>(a) Only cash transfers</w:t>
      </w:r>
    </w:p>
    <w:p>
      <w:pPr>
        <w:spacing w:after="200" w:line="276" w:lineRule="auto"/>
      </w:pPr>
      <w:r>
        <w:t>(b) Surgery</w:t>
      </w:r>
    </w:p>
    <w:p>
      <w:pPr>
        <w:spacing w:after="200" w:line="276" w:lineRule="auto"/>
      </w:pPr>
      <w:r>
        <w:t>(c) Housing</w:t>
      </w:r>
    </w:p>
    <w:p>
      <w:pPr>
        <w:spacing w:after="200" w:line="276" w:lineRule="auto"/>
      </w:pPr>
      <w:r>
        <w:t>(d) Supplementary nutrition, immunisation, health check-ups and preschool education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Supplementary nutrition, immunisation, health check-ups and preschool education</w:t>
      </w:r>
    </w:p>
    <w:p>
      <w:pPr>
        <w:spacing w:after="200" w:line="276" w:lineRule="auto"/>
      </w:pPr>
      <w:r>
        <w:t>🧠 Clinical Rationale: ICDS (anganwadi) delivers six services for women and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cash transfers — plausible, but not the single most accurate fact asked</w:t>
      </w:r>
    </w:p>
    <w:p>
      <w:pPr>
        <w:spacing w:after="200" w:line="276" w:lineRule="auto"/>
      </w:pPr>
      <w:r>
        <w:t>B. Surgery — plausible, but not the single most accurate fact asked</w:t>
      </w:r>
    </w:p>
    <w:p>
      <w:pPr>
        <w:spacing w:after="200" w:line="276" w:lineRule="auto"/>
      </w:pPr>
      <w:r>
        <w:t>C. Housing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Neurogenic shock presents with</w:t>
      </w:r>
    </w:p>
    <w:p>
      <w:pPr>
        <w:spacing w:after="200" w:line="276" w:lineRule="auto"/>
      </w:pPr>
      <w:r>
        <w:t>(a) Hypotension and bradycardia with warm, dry skin</w:t>
      </w:r>
    </w:p>
    <w:p>
      <w:pPr>
        <w:spacing w:after="200" w:line="276" w:lineRule="auto"/>
      </w:pPr>
      <w:r>
        <w:t>(b) Tachycardia with cool skin</w:t>
      </w:r>
    </w:p>
    <w:p>
      <w:pPr>
        <w:spacing w:after="200" w:line="276" w:lineRule="auto"/>
      </w:pPr>
      <w:r>
        <w:t>(c) Fever</w:t>
      </w:r>
    </w:p>
    <w:p>
      <w:pPr>
        <w:spacing w:after="200" w:line="276" w:lineRule="auto"/>
      </w:pPr>
      <w:r>
        <w:t>(d) Hypertension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 and bradycardia with warm, dry skin</w:t>
      </w:r>
    </w:p>
    <w:p>
      <w:pPr>
        <w:spacing w:after="200" w:line="276" w:lineRule="auto"/>
      </w:pPr>
      <w:r>
        <w:t>🧠 Clinical Rationale: Loss of sympathetic tone → vasodilation, bradycardia, warm periphery.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Tachycardia with cool skin — does not match the characteristic feature/management described in the stem</w:t>
      </w:r>
    </w:p>
    <w:p>
      <w:pPr>
        <w:spacing w:after="200" w:line="276" w:lineRule="auto"/>
      </w:pPr>
      <w:r>
        <w:t>C. Fever — does not match the characteristic feature/management described in the stem</w:t>
      </w:r>
    </w:p>
    <w:p>
      <w:pPr>
        <w:spacing w:after="200" w:line="276" w:lineRule="auto"/>
      </w:pPr>
      <w:r>
        <w:t>D. Hypertension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Hormone replacement therapy for menopause is used</w:t>
      </w:r>
    </w:p>
    <w:p>
      <w:pPr>
        <w:spacing w:after="200" w:line="276" w:lineRule="auto"/>
      </w:pPr>
      <w:r>
        <w:t>(a) For short-term symptom relief at the lowest effective dose</w:t>
      </w:r>
    </w:p>
    <w:p>
      <w:pPr>
        <w:spacing w:after="200" w:line="276" w:lineRule="auto"/>
      </w:pPr>
      <w:r>
        <w:t>(b) For all women lifelong</w:t>
      </w:r>
    </w:p>
    <w:p>
      <w:pPr>
        <w:spacing w:after="200" w:line="276" w:lineRule="auto"/>
      </w:pPr>
      <w:r>
        <w:t>(c) Only for osteoporosis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For short-term symptom relief at the lowest effective dose</w:t>
      </w:r>
    </w:p>
    <w:p>
      <w:pPr>
        <w:spacing w:after="200" w:line="276" w:lineRule="auto"/>
      </w:pPr>
      <w:r>
        <w:t>🧠 Clinical Rationale: Individualise — benefits vs risks (VTE, breast cancer) guide 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For all women lifelong — would be appropriate in a different situation, not this one</w:t>
      </w:r>
    </w:p>
    <w:p>
      <w:pPr>
        <w:spacing w:after="200" w:line="276" w:lineRule="auto"/>
      </w:pPr>
      <w:r>
        <w:t>C. Only for osteoporosis — would be appropriate in a different situation, not this one</w:t>
      </w:r>
    </w:p>
    <w:p>
      <w:pPr>
        <w:spacing w:after="200" w:line="276" w:lineRule="auto"/>
      </w:pPr>
      <w:r>
        <w:t>D. Never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the Lund-Browder chart, the head of a 1-year-old represents approximately</w:t>
      </w:r>
    </w:p>
    <w:p>
      <w:pPr>
        <w:spacing w:after="200" w:line="276" w:lineRule="auto"/>
      </w:pPr>
      <w:r>
        <w:t>(a) 9%</w:t>
      </w:r>
    </w:p>
    <w:p>
      <w:pPr>
        <w:spacing w:after="200" w:line="276" w:lineRule="auto"/>
      </w:pPr>
      <w:r>
        <w:t>(b) 18% BSA</w:t>
      </w:r>
    </w:p>
    <w:p>
      <w:pPr>
        <w:spacing w:after="200" w:line="276" w:lineRule="auto"/>
      </w:pPr>
      <w:r>
        <w:t>(c) 14%</w:t>
      </w:r>
    </w:p>
    <w:p>
      <w:pPr>
        <w:spacing w:after="200" w:line="276" w:lineRule="auto"/>
      </w:pPr>
      <w:r>
        <w:t>(d) 4.5%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18% BSA</w:t>
      </w:r>
    </w:p>
    <w:p>
      <w:pPr>
        <w:spacing w:after="200" w:line="276" w:lineRule="auto"/>
      </w:pPr>
      <w:r>
        <w:t>🧠 Clinical Rationale: Children have proportionally larger heads — adjust TBSA calculations.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The numbers and units in the stem — apply the correct formula step by step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9% — would result from an error in formula or unit conversion</w:t>
      </w:r>
    </w:p>
    <w:p>
      <w:pPr>
        <w:spacing w:after="200" w:line="276" w:lineRule="auto"/>
      </w:pPr>
      <w:r>
        <w:t>C. 14% — would result from an error in formula or unit conversion</w:t>
      </w:r>
    </w:p>
    <w:p>
      <w:pPr>
        <w:spacing w:after="200" w:line="276" w:lineRule="auto"/>
      </w:pPr>
      <w:r>
        <w:t>D. 4.5%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hyperkalaemia on ECG may progress to</w:t>
      </w:r>
    </w:p>
    <w:p>
      <w:pPr>
        <w:spacing w:after="200" w:line="276" w:lineRule="auto"/>
      </w:pPr>
      <w:r>
        <w:t>(a) Peaked P waves</w:t>
      </w:r>
    </w:p>
    <w:p>
      <w:pPr>
        <w:spacing w:after="200" w:line="276" w:lineRule="auto"/>
      </w:pPr>
      <w:r>
        <w:t>(b) Wide QRS and sine wave</w:t>
      </w:r>
    </w:p>
    <w:p>
      <w:pPr>
        <w:spacing w:after="200" w:line="276" w:lineRule="auto"/>
      </w:pPr>
      <w:r>
        <w:t>(c) U waves</w:t>
      </w:r>
    </w:p>
    <w:p>
      <w:pPr>
        <w:spacing w:after="200" w:line="276" w:lineRule="auto"/>
      </w:pPr>
      <w:r>
        <w:t>(d) Prolonged QT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Wide QRS and sine wave</w:t>
      </w:r>
    </w:p>
    <w:p>
      <w:pPr>
        <w:spacing w:after="200" w:line="276" w:lineRule="auto"/>
      </w:pPr>
      <w:r>
        <w:t>🧠 Clinical Rationale: Peaked T → wide QRS → sine wave → arrest — emergency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Peaked P waves — does not match the characteristic feature/management described in the stem</w:t>
      </w:r>
    </w:p>
    <w:p>
      <w:pPr>
        <w:spacing w:after="200" w:line="276" w:lineRule="auto"/>
      </w:pPr>
      <w:r>
        <w:t>C. U waves — does not match the characteristic feature/management described in the stem</w:t>
      </w:r>
    </w:p>
    <w:p>
      <w:pPr>
        <w:spacing w:after="200" w:line="276" w:lineRule="auto"/>
      </w:pPr>
      <w:r>
        <w:t>D. Prolonged QT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Autolytic debridement uses</w:t>
      </w:r>
    </w:p>
    <w:p>
      <w:pPr>
        <w:spacing w:after="200" w:line="276" w:lineRule="auto"/>
      </w:pPr>
      <w:r>
        <w:t>(a) Surgical instruments</w:t>
      </w:r>
    </w:p>
    <w:p>
      <w:pPr>
        <w:spacing w:after="200" w:line="276" w:lineRule="auto"/>
      </w:pPr>
      <w:r>
        <w:t>(b) Maggots only</w:t>
      </w:r>
    </w:p>
    <w:p>
      <w:pPr>
        <w:spacing w:after="200" w:line="276" w:lineRule="auto"/>
      </w:pPr>
      <w:r>
        <w:t>(c) The body's enzymes with moisture-retentive dressings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body's enzymes with moisture-retentive dressings</w:t>
      </w:r>
    </w:p>
    <w:p>
      <w:pPr>
        <w:spacing w:after="200" w:line="276" w:lineRule="auto"/>
      </w:pPr>
      <w:r>
        <w:t>🧠 Clinical Rationale: Autolytic is selective and gentle; sharp debridement for urgent removal.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Surgical instruments — plausible, but not the single most accurate fact asked</w:t>
      </w:r>
    </w:p>
    <w:p>
      <w:pPr>
        <w:spacing w:after="200" w:line="276" w:lineRule="auto"/>
      </w:pPr>
      <w:r>
        <w:t>B. Maggots only — plausible, but not the single most accurate fact asked</w:t>
      </w:r>
    </w:p>
    <w:p>
      <w:pPr>
        <w:spacing w:after="200" w:line="276" w:lineRule="auto"/>
      </w:pPr>
      <w:r>
        <w:t>D. Antibiotics — plausible, but not the single most accurate fact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Leprosy disability is prevented by</w:t>
      </w:r>
    </w:p>
    <w:p>
      <w:pPr>
        <w:spacing w:after="200" w:line="276" w:lineRule="auto"/>
      </w:pPr>
      <w:r>
        <w:t>(a) Delaying treatment</w:t>
      </w:r>
    </w:p>
    <w:p>
      <w:pPr>
        <w:spacing w:after="200" w:line="276" w:lineRule="auto"/>
      </w:pPr>
      <w:r>
        <w:t>(b) Surgery only</w:t>
      </w:r>
    </w:p>
    <w:p>
      <w:pPr>
        <w:spacing w:after="200" w:line="276" w:lineRule="auto"/>
      </w:pPr>
      <w:r>
        <w:t>(c) Early MDT and self-care of insensitive limbs</w:t>
      </w:r>
    </w:p>
    <w:p>
      <w:pPr>
        <w:spacing w:after="200" w:line="276" w:lineRule="auto"/>
      </w:pPr>
      <w:r>
        <w:t>(d) No care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Early MDT and self-care of insensitive limbs</w:t>
      </w:r>
    </w:p>
    <w:p>
      <w:pPr>
        <w:spacing w:after="200" w:line="276" w:lineRule="auto"/>
      </w:pPr>
      <w:r>
        <w:t>🧠 Clinical Rationale: Early treatment and foot/hand care prevent deformity and disability.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Delaying treatment — would be appropriate in a different situation, not this one</w:t>
      </w:r>
    </w:p>
    <w:p>
      <w:pPr>
        <w:spacing w:after="200" w:line="276" w:lineRule="auto"/>
      </w:pPr>
      <w:r>
        <w:t>B. Surgery only — would be appropriate in a different situation, not this one</w:t>
      </w:r>
    </w:p>
    <w:p>
      <w:pPr>
        <w:spacing w:after="200" w:line="276" w:lineRule="auto"/>
      </w:pPr>
      <w:r>
        <w:t>D. No care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 AV fistula typically matures for dialysis use in</w:t>
      </w:r>
    </w:p>
    <w:p>
      <w:pPr>
        <w:spacing w:after="200" w:line="276" w:lineRule="auto"/>
      </w:pPr>
      <w:r>
        <w:t>(a) 4-6 weeks (or longer)</w:t>
      </w:r>
    </w:p>
    <w:p>
      <w:pPr>
        <w:spacing w:after="200" w:line="276" w:lineRule="auto"/>
      </w:pPr>
      <w:r>
        <w:t>(b) 24 hours</w:t>
      </w:r>
    </w:p>
    <w:p>
      <w:pPr>
        <w:spacing w:after="200" w:line="276" w:lineRule="auto"/>
      </w:pPr>
      <w:r>
        <w:t>(c) 1 week</w:t>
      </w:r>
    </w:p>
    <w:p>
      <w:pPr>
        <w:spacing w:after="200" w:line="276" w:lineRule="auto"/>
      </w:pPr>
      <w:r>
        <w:t>(d) 6 months minimum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4-6 weeks (or longer)</w:t>
      </w:r>
    </w:p>
    <w:p>
      <w:pPr>
        <w:spacing w:after="200" w:line="276" w:lineRule="auto"/>
      </w:pPr>
      <w:r>
        <w:t>🧠 Clinical Rationale: Allow maturation before cannulation — exercise and protect the limb.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24 hours — would be appropriate in a different situation, not this one</w:t>
      </w:r>
    </w:p>
    <w:p>
      <w:pPr>
        <w:spacing w:after="200" w:line="276" w:lineRule="auto"/>
      </w:pPr>
      <w:r>
        <w:t>C. 1 week — would be appropriate in a different situation, not this one</w:t>
      </w:r>
    </w:p>
    <w:p>
      <w:pPr>
        <w:spacing w:after="200" w:line="276" w:lineRule="auto"/>
      </w:pPr>
      <w:r>
        <w:t>D. 6 months minimum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Twin pregnancy increases the risk of</w:t>
      </w:r>
    </w:p>
    <w:p>
      <w:pPr>
        <w:spacing w:after="200" w:line="276" w:lineRule="auto"/>
      </w:pPr>
      <w:r>
        <w:t>(a) Post-term birth</w:t>
      </w:r>
    </w:p>
    <w:p>
      <w:pPr>
        <w:spacing w:after="200" w:line="276" w:lineRule="auto"/>
      </w:pPr>
      <w:r>
        <w:t>(b) Preterm birth, pre-eclampsia and anaemia</w:t>
      </w:r>
    </w:p>
    <w:p>
      <w:pPr>
        <w:spacing w:after="200" w:line="276" w:lineRule="auto"/>
      </w:pPr>
      <w:r>
        <w:t>(c) Macrosomia</w:t>
      </w:r>
    </w:p>
    <w:p>
      <w:pPr>
        <w:spacing w:after="200" w:line="276" w:lineRule="auto"/>
      </w:pPr>
      <w:r>
        <w:t>(d) No risks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Preterm birth, pre-eclampsia and anaemia</w:t>
      </w:r>
    </w:p>
    <w:p>
      <w:pPr>
        <w:spacing w:after="200" w:line="276" w:lineRule="auto"/>
      </w:pPr>
      <w:r>
        <w:t>🧠 Clinical Rationale: Multiple gestation needs intensified monitoring and 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Post-term birth — does not match the characteristic feature/management described in the stem</w:t>
      </w:r>
    </w:p>
    <w:p>
      <w:pPr>
        <w:spacing w:after="200" w:line="276" w:lineRule="auto"/>
      </w:pPr>
      <w:r>
        <w:t>C. Macrosomia — does not match the characteristic feature/management described in the stem</w:t>
      </w:r>
    </w:p>
    <w:p>
      <w:pPr>
        <w:spacing w:after="200" w:line="276" w:lineRule="auto"/>
      </w:pPr>
      <w:r>
        <w:t>D. No risks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treatment for schizophrenia is</w:t>
      </w:r>
    </w:p>
    <w:p>
      <w:pPr>
        <w:spacing w:after="200" w:line="276" w:lineRule="auto"/>
      </w:pPr>
      <w:r>
        <w:t>(a) SSRIs</w:t>
      </w:r>
    </w:p>
    <w:p>
      <w:pPr>
        <w:spacing w:after="200" w:line="276" w:lineRule="auto"/>
      </w:pPr>
      <w:r>
        <w:t>(b) Benzodiazepines long-term</w:t>
      </w:r>
    </w:p>
    <w:p>
      <w:pPr>
        <w:spacing w:after="200" w:line="276" w:lineRule="auto"/>
      </w:pPr>
      <w:r>
        <w:t>(c) Atypical antipsychotics (e.g., risperidone, olanzapine)</w:t>
      </w:r>
    </w:p>
    <w:p>
      <w:pPr>
        <w:spacing w:after="200" w:line="276" w:lineRule="auto"/>
      </w:pPr>
      <w:r>
        <w:t>(d) Stimulants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Atypical antipsychotics (e.g., risperidone, olanzapine)</w:t>
      </w:r>
    </w:p>
    <w:p>
      <w:pPr>
        <w:spacing w:after="200" w:line="276" w:lineRule="auto"/>
      </w:pPr>
      <w:r>
        <w:t>🧠 Clinical Rationale: Atypicals treat positive symptoms with fewer EPS than typicals.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SSRIs — would be appropriate in a different situation, not this one</w:t>
      </w:r>
    </w:p>
    <w:p>
      <w:pPr>
        <w:spacing w:after="200" w:line="276" w:lineRule="auto"/>
      </w:pPr>
      <w:r>
        <w:t>B. Benzodiazepines long-term — would be appropriate in a different situation, not this one</w:t>
      </w:r>
    </w:p>
    <w:p>
      <w:pPr>
        <w:spacing w:after="200" w:line="276" w:lineRule="auto"/>
      </w:pPr>
      <w:r>
        <w:t>D. Stimulants — would be appropriate in a different situation, not this one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feeding cue in a newborn is</w:t>
      </w:r>
    </w:p>
    <w:p>
      <w:pPr>
        <w:spacing w:after="200" w:line="276" w:lineRule="auto"/>
      </w:pPr>
      <w:r>
        <w:t>(a) Crying</w:t>
      </w:r>
    </w:p>
    <w:p>
      <w:pPr>
        <w:spacing w:after="200" w:line="276" w:lineRule="auto"/>
      </w:pPr>
      <w:r>
        <w:t>(b) Sleeping deeply</w:t>
      </w:r>
    </w:p>
    <w:p>
      <w:pPr>
        <w:spacing w:after="200" w:line="276" w:lineRule="auto"/>
      </w:pPr>
      <w:r>
        <w:t>(c) Rooting, mouthing and hand-to-mouth movements</w:t>
      </w:r>
    </w:p>
    <w:p>
      <w:pPr>
        <w:spacing w:after="200" w:line="276" w:lineRule="auto"/>
      </w:pPr>
      <w:r>
        <w:t>(d) Yawning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Rooting, mouthing and hand-to-mouth movements</w:t>
      </w:r>
    </w:p>
    <w:p>
      <w:pPr>
        <w:spacing w:after="200" w:line="276" w:lineRule="auto"/>
      </w:pPr>
      <w:r>
        <w:t>🧠 Clinical Rationale: Feed on early cues; crying is a late hunger cue.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Crying — would be appropriate in a different situation, not this one</w:t>
      </w:r>
    </w:p>
    <w:p>
      <w:pPr>
        <w:spacing w:after="200" w:line="276" w:lineRule="auto"/>
      </w:pPr>
      <w:r>
        <w:t>B. Sleeping deeply — would be appropriate in a different situation, not this one</w:t>
      </w:r>
    </w:p>
    <w:p>
      <w:pPr>
        <w:spacing w:after="200" w:line="276" w:lineRule="auto"/>
      </w:pPr>
      <w:r>
        <w:t>D. Yawning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Terminal secretions ('death rattle') are managed with</w:t>
      </w:r>
    </w:p>
    <w:p>
      <w:pPr>
        <w:spacing w:after="200" w:line="276" w:lineRule="auto"/>
      </w:pPr>
      <w:r>
        <w:t>(a) Anticholinergics (hyoscine/glycopyrrolate) and positioning</w:t>
      </w:r>
    </w:p>
    <w:p>
      <w:pPr>
        <w:spacing w:after="200" w:line="276" w:lineRule="auto"/>
      </w:pPr>
      <w:r>
        <w:t>(b) Suctioning routinely</w:t>
      </w:r>
    </w:p>
    <w:p>
      <w:pPr>
        <w:spacing w:after="200" w:line="276" w:lineRule="auto"/>
      </w:pPr>
      <w:r>
        <w:t>(c) More fluids</w:t>
      </w:r>
    </w:p>
    <w:p>
      <w:pPr>
        <w:spacing w:after="200" w:line="276" w:lineRule="auto"/>
      </w:pPr>
      <w:r>
        <w:t>(d) Sedation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Anticholinergics (hyoscine/glycopyrrolate) and positioning</w:t>
      </w:r>
    </w:p>
    <w:p>
      <w:pPr>
        <w:spacing w:after="200" w:line="276" w:lineRule="auto"/>
      </w:pPr>
      <w:r>
        <w:t>🧠 Clinical Rationale: Reduce secretions and reposition; explain to family.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Suctioning routinely — would be appropriate in a different situation, not this one</w:t>
      </w:r>
    </w:p>
    <w:p>
      <w:pPr>
        <w:spacing w:after="200" w:line="276" w:lineRule="auto"/>
      </w:pPr>
      <w:r>
        <w:t>C. More fluids — would be appropriate in a different situation, not this one</w:t>
      </w:r>
    </w:p>
    <w:p>
      <w:pPr>
        <w:spacing w:after="200" w:line="276" w:lineRule="auto"/>
      </w:pPr>
      <w:r>
        <w:t>D. Sedation always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oxygen is in use, the nurse prohibits</w:t>
      </w:r>
    </w:p>
    <w:p>
      <w:pPr>
        <w:spacing w:after="200" w:line="276" w:lineRule="auto"/>
      </w:pPr>
      <w:r>
        <w:t>(a) Water</w:t>
      </w:r>
    </w:p>
    <w:p>
      <w:pPr>
        <w:spacing w:after="200" w:line="276" w:lineRule="auto"/>
      </w:pPr>
      <w:r>
        <w:t>(b) Conversation</w:t>
      </w:r>
    </w:p>
    <w:p>
      <w:pPr>
        <w:spacing w:after="200" w:line="276" w:lineRule="auto"/>
      </w:pPr>
      <w:r>
        <w:t>(c) Mobile phones at distance</w:t>
      </w:r>
    </w:p>
    <w:p>
      <w:pPr>
        <w:spacing w:after="200" w:line="276" w:lineRule="auto"/>
      </w:pPr>
      <w:r>
        <w:t>(d) Smoking, open flames and oil-based products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Smoking, open flames and oil-based products</w:t>
      </w:r>
    </w:p>
    <w:p>
      <w:pPr>
        <w:spacing w:after="200" w:line="276" w:lineRule="auto"/>
      </w:pPr>
      <w:r>
        <w:t>🧠 Clinical Rationale: Oxygen supports combustion — enforce fire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Water — would be appropriate in a different situation, not this one</w:t>
      </w:r>
    </w:p>
    <w:p>
      <w:pPr>
        <w:spacing w:after="200" w:line="276" w:lineRule="auto"/>
      </w:pPr>
      <w:r>
        <w:t>B. Conversation — would be appropriate in a different situation, not this one</w:t>
      </w:r>
    </w:p>
    <w:p>
      <w:pPr>
        <w:spacing w:after="200" w:line="276" w:lineRule="auto"/>
      </w:pPr>
      <w:r>
        <w:t>C. Mobile phones at distance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screening test with high sensitivity</w:t>
      </w:r>
    </w:p>
    <w:p>
      <w:pPr>
        <w:spacing w:after="200" w:line="276" w:lineRule="auto"/>
      </w:pPr>
      <w:r>
        <w:t>(a) Rarely gives false positives</w:t>
      </w:r>
    </w:p>
    <w:p>
      <w:pPr>
        <w:spacing w:after="200" w:line="276" w:lineRule="auto"/>
      </w:pPr>
      <w:r>
        <w:t>(b) Rarely misses true disease (few false negatives)</w:t>
      </w:r>
    </w:p>
    <w:p>
      <w:pPr>
        <w:spacing w:after="200" w:line="276" w:lineRule="auto"/>
      </w:pPr>
      <w:r>
        <w:t>(c) Is specific</w:t>
      </w:r>
    </w:p>
    <w:p>
      <w:pPr>
        <w:spacing w:after="200" w:line="276" w:lineRule="auto"/>
      </w:pPr>
      <w:r>
        <w:t>(d) Is cheap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Rarely misses true disease (few false negatives)</w:t>
      </w:r>
    </w:p>
    <w:p>
      <w:pPr>
        <w:spacing w:after="200" w:line="276" w:lineRule="auto"/>
      </w:pPr>
      <w:r>
        <w:t>🧠 Clinical Rationale: Sensitivity = TP/(TP+FN) — rules OUT disease when negative.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Rarely gives false positives — plausible, but not the single most accurate fact asked</w:t>
      </w:r>
    </w:p>
    <w:p>
      <w:pPr>
        <w:spacing w:after="200" w:line="276" w:lineRule="auto"/>
      </w:pPr>
      <w:r>
        <w:t>C. Is specific — plausible, but not the single most accurate fact asked</w:t>
      </w:r>
    </w:p>
    <w:p>
      <w:pPr>
        <w:spacing w:after="200" w:line="276" w:lineRule="auto"/>
      </w:pPr>
      <w:r>
        <w:t>D. Is cheap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Addisonian crisis presents with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Hypotension, vomiting, hyponatraemia and hyperkalaemia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Hypotension, vomiting, hyponatraemia and hyperkalaemia</w:t>
      </w:r>
    </w:p>
    <w:p>
      <w:pPr>
        <w:spacing w:after="200" w:line="276" w:lineRule="auto"/>
      </w:pPr>
      <w:r>
        <w:t>🧠 Clinical Rationale: Cortisol deficiency + stress → crisis — hydrocortisone and saline.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does not match the characteristic feature/management described in the stem</w:t>
      </w:r>
    </w:p>
    <w:p>
      <w:pPr>
        <w:spacing w:after="200" w:line="276" w:lineRule="auto"/>
      </w:pPr>
      <w:r>
        <w:t>B. Hyperglycaemia — does not match the characteristic feature/management described in the stem</w:t>
      </w:r>
    </w:p>
    <w:p>
      <w:pPr>
        <w:spacing w:after="200" w:line="276" w:lineRule="auto"/>
      </w:pPr>
      <w:r>
        <w:t>C. Bradycardia — does not match the characteristic feature/management described in the stem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