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Stage 5 CKD (ESRD) is defined by GFR below</w:t>
      </w:r>
    </w:p>
    <w:p>
      <w:pPr>
        <w:spacing w:after="200" w:line="276" w:lineRule="auto"/>
      </w:pPr>
      <w:r>
        <w:t>(a) 30</w:t>
      </w:r>
    </w:p>
    <w:p>
      <w:pPr>
        <w:spacing w:after="200" w:line="276" w:lineRule="auto"/>
      </w:pPr>
      <w:r>
        <w:t>(b) 60</w:t>
      </w:r>
    </w:p>
    <w:p>
      <w:pPr>
        <w:spacing w:after="200" w:line="276" w:lineRule="auto"/>
      </w:pPr>
      <w:r>
        <w:t>(c) 15 mL/min/1.73m²</w:t>
      </w:r>
    </w:p>
    <w:p>
      <w:pPr>
        <w:spacing w:after="200" w:line="276" w:lineRule="auto"/>
      </w:pPr>
      <w:r>
        <w:t>(d) 90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15 mL/min/1.73m²</w:t>
      </w:r>
    </w:p>
    <w:p>
      <w:pPr>
        <w:spacing w:after="200" w:line="276" w:lineRule="auto"/>
      </w:pPr>
      <w:r>
        <w:t>🧠 Clinical Rationale: ESRD GFR &lt;15 — dialysis or transplant planning.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 — plausible, but not the single most accurate fact asked</w:t>
      </w:r>
    </w:p>
    <w:p>
      <w:pPr>
        <w:spacing w:after="200" w:line="276" w:lineRule="auto"/>
      </w:pPr>
      <w:r>
        <w:t>B. 60 — plausible, but not the single most accurate fact asked</w:t>
      </w:r>
    </w:p>
    <w:p>
      <w:pPr>
        <w:spacing w:after="200" w:line="276" w:lineRule="auto"/>
      </w:pPr>
      <w:r>
        <w:t>D. 90 — plausible, but not the single most accurate fact asked</w:t>
      </w:r>
    </w:p>
    <w:p>
      <w:pPr>
        <w:spacing w:after="200" w:line="276" w:lineRule="auto"/>
      </w:pPr>
      <w:r>
        <w:t>⚠️ Exam Trap: The fistula arm is protected — no BP cuff, no venepuncture, no tight clothing; a lost thrill/bruit means the fistula is failing.</w:t>
      </w:r>
    </w:p>
    <w:p>
      <w:pPr>
        <w:spacing w:after="200" w:line="276" w:lineRule="auto"/>
      </w:pPr>
      <w:r>
        <w:t>💎 PNC Pearl: AV fistula care: palpate thrill / auscultate bruit daily, and NEVER take BP or IV on the fistula arm.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Measles can cause which serious complication?</w:t>
      </w:r>
    </w:p>
    <w:p>
      <w:pPr>
        <w:spacing w:after="200" w:line="276" w:lineRule="auto"/>
      </w:pPr>
      <w:r>
        <w:t>(a) Paralysis only</w:t>
      </w:r>
    </w:p>
    <w:p>
      <w:pPr>
        <w:spacing w:after="200" w:line="276" w:lineRule="auto"/>
      </w:pPr>
      <w:r>
        <w:t>(b) Anaemia</w:t>
      </w:r>
    </w:p>
    <w:p>
      <w:pPr>
        <w:spacing w:after="200" w:line="276" w:lineRule="auto"/>
      </w:pPr>
      <w:r>
        <w:t>(c) Deafness only</w:t>
      </w:r>
    </w:p>
    <w:p>
      <w:pPr>
        <w:spacing w:after="200" w:line="276" w:lineRule="auto"/>
      </w:pPr>
      <w:r>
        <w:t>(d) Pneumonia and encephalitis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Pneumonia and encephalitis</w:t>
      </w:r>
    </w:p>
    <w:p>
      <w:pPr>
        <w:spacing w:after="200" w:line="276" w:lineRule="auto"/>
      </w:pPr>
      <w:r>
        <w:t>🧠 Clinical Rationale: Measles complications include pneumonia and encephalitis — vaccinate.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Paralysis only — would be appropriate in a different situation, not this one</w:t>
      </w:r>
    </w:p>
    <w:p>
      <w:pPr>
        <w:spacing w:after="200" w:line="276" w:lineRule="auto"/>
      </w:pPr>
      <w:r>
        <w:t>B. Anaemia — would be appropriate in a different situation, not this one</w:t>
      </w:r>
    </w:p>
    <w:p>
      <w:pPr>
        <w:spacing w:after="200" w:line="276" w:lineRule="auto"/>
      </w:pPr>
      <w:r>
        <w:t>C. Deafness only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a pressure-relieving mattress still needs</w:t>
      </w:r>
    </w:p>
    <w:p>
      <w:pPr>
        <w:spacing w:after="200" w:line="276" w:lineRule="auto"/>
      </w:pPr>
      <w:r>
        <w:t>(a) Regular repositioning and skin checks</w:t>
      </w:r>
    </w:p>
    <w:p>
      <w:pPr>
        <w:spacing w:after="200" w:line="276" w:lineRule="auto"/>
      </w:pPr>
      <w:r>
        <w:t>(b) No turning</w:t>
      </w:r>
    </w:p>
    <w:p>
      <w:pPr>
        <w:spacing w:after="200" w:line="276" w:lineRule="auto"/>
      </w:pPr>
      <w:r>
        <w:t>(c) Massage over prominences</w:t>
      </w:r>
    </w:p>
    <w:p>
      <w:pPr>
        <w:spacing w:after="200" w:line="276" w:lineRule="auto"/>
      </w:pPr>
      <w:r>
        <w:t>(d) Only padding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Regular repositioning and skin checks</w:t>
      </w:r>
    </w:p>
    <w:p>
      <w:pPr>
        <w:spacing w:after="200" w:line="276" w:lineRule="auto"/>
      </w:pPr>
      <w:r>
        <w:t>🧠 Clinical Rationale: Support surfaces reduce risk but do not replace turning.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turning — would be appropriate in a different situation, not this one</w:t>
      </w:r>
    </w:p>
    <w:p>
      <w:pPr>
        <w:spacing w:after="200" w:line="276" w:lineRule="auto"/>
      </w:pPr>
      <w:r>
        <w:t>C. Massage over prominences — would be appropriate in a different situation, not this one</w:t>
      </w:r>
    </w:p>
    <w:p>
      <w:pPr>
        <w:spacing w:after="200" w:line="276" w:lineRule="auto"/>
      </w:pPr>
      <w:r>
        <w:t>D. Only padding — would be appropriate in a different situation, not this one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SpO2 target for COPD patients is</w:t>
      </w:r>
    </w:p>
    <w:p>
      <w:pPr>
        <w:spacing w:after="200" w:line="276" w:lineRule="auto"/>
      </w:pPr>
      <w:r>
        <w:t>(a) 95-100%</w:t>
      </w:r>
    </w:p>
    <w:p>
      <w:pPr>
        <w:spacing w:after="200" w:line="276" w:lineRule="auto"/>
      </w:pPr>
      <w:r>
        <w:t>(b) 80-85%</w:t>
      </w:r>
    </w:p>
    <w:p>
      <w:pPr>
        <w:spacing w:after="200" w:line="276" w:lineRule="auto"/>
      </w:pPr>
      <w:r>
        <w:t>(c) Any value</w:t>
      </w:r>
    </w:p>
    <w:p>
      <w:pPr>
        <w:spacing w:after="200" w:line="276" w:lineRule="auto"/>
      </w:pPr>
      <w:r>
        <w:t>(d) 88-92%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88-92%</w:t>
      </w:r>
    </w:p>
    <w:p>
      <w:pPr>
        <w:spacing w:after="200" w:line="276" w:lineRule="auto"/>
      </w:pPr>
      <w:r>
        <w:t>🧠 Clinical Rationale: Avoid hyperoxia — titrate to 88-92%.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Low SpO₂ — compromised oxygenation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95-100% — does not match the characteristic feature/management described in the stem</w:t>
      </w:r>
    </w:p>
    <w:p>
      <w:pPr>
        <w:spacing w:after="200" w:line="276" w:lineRule="auto"/>
      </w:pPr>
      <w:r>
        <w:t>B. 80-85% — does not match the characteristic feature/management described in the stem</w:t>
      </w:r>
    </w:p>
    <w:p>
      <w:pPr>
        <w:spacing w:after="200" w:line="276" w:lineRule="auto"/>
      </w:pPr>
      <w:r>
        <w:t>C. Any value — does not match the characteristic feature/management described in the stem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panic attack typically peaks within</w:t>
      </w:r>
    </w:p>
    <w:p>
      <w:pPr>
        <w:spacing w:after="200" w:line="276" w:lineRule="auto"/>
      </w:pPr>
      <w:r>
        <w:t>(a) 10 minutes</w:t>
      </w:r>
    </w:p>
    <w:p>
      <w:pPr>
        <w:spacing w:after="200" w:line="276" w:lineRule="auto"/>
      </w:pPr>
      <w:r>
        <w:t>(b) 1 hour</w:t>
      </w:r>
    </w:p>
    <w:p>
      <w:pPr>
        <w:spacing w:after="200" w:line="276" w:lineRule="auto"/>
      </w:pPr>
      <w:r>
        <w:t>(c) 1 day</w:t>
      </w:r>
    </w:p>
    <w:p>
      <w:pPr>
        <w:spacing w:after="200" w:line="276" w:lineRule="auto"/>
      </w:pPr>
      <w:r>
        <w:t>(d) 1 week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 minutes</w:t>
      </w:r>
    </w:p>
    <w:p>
      <w:pPr>
        <w:spacing w:after="200" w:line="276" w:lineRule="auto"/>
      </w:pPr>
      <w:r>
        <w:t>🧠 Clinical Rationale: Rapid onset and brief peak — reassure and teach coping.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 hour — plausible, but not the single most accurate fact asked</w:t>
      </w:r>
    </w:p>
    <w:p>
      <w:pPr>
        <w:spacing w:after="200" w:line="276" w:lineRule="auto"/>
      </w:pPr>
      <w:r>
        <w:t>C. 1 day — plausible, but not the single most accurate fact asked</w:t>
      </w:r>
    </w:p>
    <w:p>
      <w:pPr>
        <w:spacing w:after="200" w:line="276" w:lineRule="auto"/>
      </w:pPr>
      <w:r>
        <w:t>D. 1 week — plausible, but not the single most accurate fact asked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Pregnant women receive IFA tablets to prevent</w:t>
      </w:r>
    </w:p>
    <w:p>
      <w:pPr>
        <w:spacing w:after="200" w:line="276" w:lineRule="auto"/>
      </w:pPr>
      <w:r>
        <w:t>(a) Hypertension</w:t>
      </w:r>
    </w:p>
    <w:p>
      <w:pPr>
        <w:spacing w:after="200" w:line="276" w:lineRule="auto"/>
      </w:pPr>
      <w:r>
        <w:t>(b) Diabetes</w:t>
      </w:r>
    </w:p>
    <w:p>
      <w:pPr>
        <w:spacing w:after="200" w:line="276" w:lineRule="auto"/>
      </w:pPr>
      <w:r>
        <w:t>(c) Anaemia and neural tube defects</w:t>
      </w:r>
    </w:p>
    <w:p>
      <w:pPr>
        <w:spacing w:after="200" w:line="276" w:lineRule="auto"/>
      </w:pPr>
      <w:r>
        <w:t>(d) Infections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Anaemia and neural tube defects</w:t>
      </w:r>
    </w:p>
    <w:p>
      <w:pPr>
        <w:spacing w:after="200" w:line="276" w:lineRule="auto"/>
      </w:pPr>
      <w:r>
        <w:t>🧠 Clinical Rationale: IFA (iron + folate) prevents anaemia and NTDs.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Hypertension — would be appropriate in a different situation, not this one</w:t>
      </w:r>
    </w:p>
    <w:p>
      <w:pPr>
        <w:spacing w:after="200" w:line="276" w:lineRule="auto"/>
      </w:pPr>
      <w:r>
        <w:t>B. Diabetes — would be appropriate in a different situation, not this one</w:t>
      </w:r>
    </w:p>
    <w:p>
      <w:pPr>
        <w:spacing w:after="200" w:line="276" w:lineRule="auto"/>
      </w:pPr>
      <w:r>
        <w:t>D. Infections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Left heart failure commonly presents with</w:t>
      </w:r>
    </w:p>
    <w:p>
      <w:pPr>
        <w:spacing w:after="200" w:line="276" w:lineRule="auto"/>
      </w:pPr>
      <w:r>
        <w:t>(a) Peripheral oedema only</w:t>
      </w:r>
    </w:p>
    <w:p>
      <w:pPr>
        <w:spacing w:after="200" w:line="276" w:lineRule="auto"/>
      </w:pPr>
      <w:r>
        <w:t>(b) JVP only</w:t>
      </w:r>
    </w:p>
    <w:p>
      <w:pPr>
        <w:spacing w:after="200" w:line="276" w:lineRule="auto"/>
      </w:pPr>
      <w:r>
        <w:t>(c) Dyspnoea, orthopnoea, crackles and fatigue</w:t>
      </w:r>
    </w:p>
    <w:p>
      <w:pPr>
        <w:spacing w:after="200" w:line="276" w:lineRule="auto"/>
      </w:pPr>
      <w:r>
        <w:t>(d) Ascites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Dyspnoea, orthopnoea, crackles and fatigue</w:t>
      </w:r>
    </w:p>
    <w:p>
      <w:pPr>
        <w:spacing w:after="200" w:line="276" w:lineRule="auto"/>
      </w:pPr>
      <w:r>
        <w:t>🧠 Clinical Rationale: Left-sided failure → pulmonary congestion; right-sided → oedema/ascites.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Peripheral oedema only — does not match the characteristic feature/management described in the stem</w:t>
      </w:r>
    </w:p>
    <w:p>
      <w:pPr>
        <w:spacing w:after="200" w:line="276" w:lineRule="auto"/>
      </w:pPr>
      <w:r>
        <w:t>B. JVP only — does not match the characteristic feature/management described in the stem</w:t>
      </w:r>
    </w:p>
    <w:p>
      <w:pPr>
        <w:spacing w:after="200" w:line="276" w:lineRule="auto"/>
      </w:pPr>
      <w:r>
        <w:t>D. Ascites — does not match the characteristic feature/management described in the stem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Intrauterine growth restriction increases the risk of</w:t>
      </w:r>
    </w:p>
    <w:p>
      <w:pPr>
        <w:spacing w:after="200" w:line="276" w:lineRule="auto"/>
      </w:pPr>
      <w:r>
        <w:t>(a) Macrosomia</w:t>
      </w:r>
    </w:p>
    <w:p>
      <w:pPr>
        <w:spacing w:after="200" w:line="276" w:lineRule="auto"/>
      </w:pPr>
      <w:r>
        <w:t>(b) Fetal distress and neonatal complications</w:t>
      </w:r>
    </w:p>
    <w:p>
      <w:pPr>
        <w:spacing w:after="200" w:line="276" w:lineRule="auto"/>
      </w:pPr>
      <w:r>
        <w:t>(c) Post-term birth</w:t>
      </w:r>
    </w:p>
    <w:p>
      <w:pPr>
        <w:spacing w:after="200" w:line="276" w:lineRule="auto"/>
      </w:pPr>
      <w:r>
        <w:t>(d) No risks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Fetal distress and neonatal complications</w:t>
      </w:r>
    </w:p>
    <w:p>
      <w:pPr>
        <w:spacing w:after="200" w:line="276" w:lineRule="auto"/>
      </w:pPr>
      <w:r>
        <w:t>🧠 Clinical Rationale: Monitor growth scans and fetal well-being — plan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Macrosomia — would be appropriate in a different situation, not this one</w:t>
      </w:r>
    </w:p>
    <w:p>
      <w:pPr>
        <w:spacing w:after="200" w:line="276" w:lineRule="auto"/>
      </w:pPr>
      <w:r>
        <w:t>C. Post-term birth — would be appropriate in a different situation, not this one</w:t>
      </w:r>
    </w:p>
    <w:p>
      <w:pPr>
        <w:spacing w:after="200" w:line="276" w:lineRule="auto"/>
      </w:pPr>
      <w:r>
        <w:t>D. No risks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Aspirin is avoided in children because of</w:t>
      </w:r>
    </w:p>
    <w:p>
      <w:pPr>
        <w:spacing w:after="200" w:line="276" w:lineRule="auto"/>
      </w:pPr>
      <w:r>
        <w:t>(a) Gastric upset only</w:t>
      </w:r>
    </w:p>
    <w:p>
      <w:pPr>
        <w:spacing w:after="200" w:line="276" w:lineRule="auto"/>
      </w:pPr>
      <w:r>
        <w:t>(b) Dental staining</w:t>
      </w:r>
    </w:p>
    <w:p>
      <w:pPr>
        <w:spacing w:after="200" w:line="276" w:lineRule="auto"/>
      </w:pPr>
      <w:r>
        <w:t>(c) Reye syndrome risk</w:t>
      </w:r>
    </w:p>
    <w:p>
      <w:pPr>
        <w:spacing w:after="200" w:line="276" w:lineRule="auto"/>
      </w:pPr>
      <w:r>
        <w:t>(d) No reason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Reye syndrome risk</w:t>
      </w:r>
    </w:p>
    <w:p>
      <w:pPr>
        <w:spacing w:after="200" w:line="276" w:lineRule="auto"/>
      </w:pPr>
      <w:r>
        <w:t>🧠 Clinical Rationale: Reye syndrome (hepatic encephalopathy) — use paracetamol instead.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Gastric upset only — plausible, but not the single most accurate fact asked</w:t>
      </w:r>
    </w:p>
    <w:p>
      <w:pPr>
        <w:spacing w:after="200" w:line="276" w:lineRule="auto"/>
      </w:pPr>
      <w:r>
        <w:t>B. Dental staining — plausible, but not the single most accurate fact asked</w:t>
      </w:r>
    </w:p>
    <w:p>
      <w:pPr>
        <w:spacing w:after="200" w:line="276" w:lineRule="auto"/>
      </w:pPr>
      <w:r>
        <w:t>D. No reason — plausible, but not the single most accurate fact asked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Octreotide is given in variceal bleeding to</w:t>
      </w:r>
    </w:p>
    <w:p>
      <w:pPr>
        <w:spacing w:after="200" w:line="276" w:lineRule="auto"/>
      </w:pPr>
      <w:r>
        <w:t>(a) Clot blood directly</w:t>
      </w:r>
    </w:p>
    <w:p>
      <w:pPr>
        <w:spacing w:after="200" w:line="276" w:lineRule="auto"/>
      </w:pPr>
      <w:r>
        <w:t>(b) Raise BP</w:t>
      </w:r>
    </w:p>
    <w:p>
      <w:pPr>
        <w:spacing w:after="200" w:line="276" w:lineRule="auto"/>
      </w:pPr>
      <w:r>
        <w:t>(c) Sedate</w:t>
      </w:r>
    </w:p>
    <w:p>
      <w:pPr>
        <w:spacing w:after="200" w:line="276" w:lineRule="auto"/>
      </w:pPr>
      <w:r>
        <w:t>(d) Reduce splanchnic blood flow and portal pressure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Reduce splanchnic blood flow and portal pressure</w:t>
      </w:r>
    </w:p>
    <w:p>
      <w:pPr>
        <w:spacing w:after="200" w:line="276" w:lineRule="auto"/>
      </w:pPr>
      <w:r>
        <w:t>🧠 Clinical Rationale: Vasoactive therapy with antibiotics and early endoscopy.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Clot blood directly — does not match the characteristic feature/management described in the stem</w:t>
      </w:r>
    </w:p>
    <w:p>
      <w:pPr>
        <w:spacing w:after="200" w:line="276" w:lineRule="auto"/>
      </w:pPr>
      <w:r>
        <w:t>B. Raise BP — does not match the characteristic feature/management described in the stem</w:t>
      </w:r>
    </w:p>
    <w:p>
      <w:pPr>
        <w:spacing w:after="200" w:line="276" w:lineRule="auto"/>
      </w:pPr>
      <w:r>
        <w:t>C. Sedate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transfusion, two nurses verify</w:t>
      </w:r>
    </w:p>
    <w:p>
      <w:pPr>
        <w:spacing w:after="200" w:line="276" w:lineRule="auto"/>
      </w:pPr>
      <w:r>
        <w:t>(a) Only blood type</w:t>
      </w:r>
    </w:p>
    <w:p>
      <w:pPr>
        <w:spacing w:after="200" w:line="276" w:lineRule="auto"/>
      </w:pPr>
      <w:r>
        <w:t>(b) Patient identity, blood unit number and compatibility</w:t>
      </w:r>
    </w:p>
    <w:p>
      <w:pPr>
        <w:spacing w:after="200" w:line="276" w:lineRule="auto"/>
      </w:pPr>
      <w:r>
        <w:t>(c) The ward</w:t>
      </w:r>
    </w:p>
    <w:p>
      <w:pPr>
        <w:spacing w:after="200" w:line="276" w:lineRule="auto"/>
      </w:pPr>
      <w:r>
        <w:t>(d) The cost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Patient identity, blood unit number and compatibility</w:t>
      </w:r>
    </w:p>
    <w:p>
      <w:pPr>
        <w:spacing w:after="200" w:line="276" w:lineRule="auto"/>
      </w:pPr>
      <w:r>
        <w:t>🧠 Clinical Rationale: Bedside checks prevent ABO mismatch.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Transfusion - Compatible Check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Patient identity, blood unit number and compatibility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blood type — does not address the immediate life-threatening problem (ABC comes first)</w:t>
      </w:r>
    </w:p>
    <w:p>
      <w:pPr>
        <w:spacing w:after="200" w:line="276" w:lineRule="auto"/>
      </w:pPr>
      <w:r>
        <w:t>C. The ward — does not address the immediate life-threatening problem (ABC comes first)</w:t>
      </w:r>
    </w:p>
    <w:p>
      <w:pPr>
        <w:spacing w:after="200" w:line="276" w:lineRule="auto"/>
      </w:pPr>
      <w:r>
        <w:t>D. The cost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CBNAAT is used to</w:t>
      </w:r>
    </w:p>
    <w:p>
      <w:pPr>
        <w:spacing w:after="200" w:line="276" w:lineRule="auto"/>
      </w:pPr>
      <w:r>
        <w:t>(a) Culture slowly</w:t>
      </w:r>
    </w:p>
    <w:p>
      <w:pPr>
        <w:spacing w:after="200" w:line="276" w:lineRule="auto"/>
      </w:pPr>
      <w:r>
        <w:t>(b) Measure lung volume</w:t>
      </w:r>
    </w:p>
    <w:p>
      <w:pPr>
        <w:spacing w:after="200" w:line="276" w:lineRule="auto"/>
      </w:pPr>
      <w:r>
        <w:t>(c) Rapidly detect TB and rifampicin resistance</w:t>
      </w:r>
    </w:p>
    <w:p>
      <w:pPr>
        <w:spacing w:after="200" w:line="276" w:lineRule="auto"/>
      </w:pPr>
      <w:r>
        <w:t>(d) Screen vaccines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Rapidly detect TB and rifampicin resistance</w:t>
      </w:r>
    </w:p>
    <w:p>
      <w:pPr>
        <w:spacing w:after="200" w:line="276" w:lineRule="auto"/>
      </w:pPr>
      <w:r>
        <w:t>🧠 Clinical Rationale: GeneXpert detects M. tuberculosis and RIF resistance in ~2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Culture slowly — plausible, but not the single most accurate fact asked</w:t>
      </w:r>
    </w:p>
    <w:p>
      <w:pPr>
        <w:spacing w:after="200" w:line="276" w:lineRule="auto"/>
      </w:pPr>
      <w:r>
        <w:t>B. Measure lung volume — plausible, but not the single most accurate fact asked</w:t>
      </w:r>
    </w:p>
    <w:p>
      <w:pPr>
        <w:spacing w:after="200" w:line="276" w:lineRule="auto"/>
      </w:pPr>
      <w:r>
        <w:t>D. Screen vaccines — plausible, but not the single most accurate fact asked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Thyroid storm management includes</w:t>
      </w:r>
    </w:p>
    <w:p>
      <w:pPr>
        <w:spacing w:after="200" w:line="276" w:lineRule="auto"/>
      </w:pPr>
      <w:r>
        <w:t>(a) Only iodine</w:t>
      </w:r>
    </w:p>
    <w:p>
      <w:pPr>
        <w:spacing w:after="200" w:line="276" w:lineRule="auto"/>
      </w:pPr>
      <w:r>
        <w:t>(b) Thionamides, beta-blockers, steroids and iodine (after PTU)</w:t>
      </w:r>
    </w:p>
    <w:p>
      <w:pPr>
        <w:spacing w:after="200" w:line="276" w:lineRule="auto"/>
      </w:pPr>
      <w:r>
        <w:t>(c) Insulin</w:t>
      </w:r>
    </w:p>
    <w:p>
      <w:pPr>
        <w:spacing w:after="200" w:line="276" w:lineRule="auto"/>
      </w:pPr>
      <w:r>
        <w:t>(d) Diuretics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Thionamides, beta-blockers, steroids and iodine (after PTU)</w:t>
      </w:r>
    </w:p>
    <w:p>
      <w:pPr>
        <w:spacing w:after="200" w:line="276" w:lineRule="auto"/>
      </w:pPr>
      <w:r>
        <w:t>🧠 Clinical Rationale: Block synthesis, release and peripheral effects simultaneously.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iodine — does not match the characteristic feature/management described in the stem</w:t>
      </w:r>
    </w:p>
    <w:p>
      <w:pPr>
        <w:spacing w:after="200" w:line="276" w:lineRule="auto"/>
      </w:pPr>
      <w:r>
        <w:t>C. Insulin — does not match the characteristic feature/management described in the stem</w:t>
      </w:r>
    </w:p>
    <w:p>
      <w:pPr>
        <w:spacing w:after="200" w:line="276" w:lineRule="auto"/>
      </w:pPr>
      <w:r>
        <w:t>D. Diuretics — does not match the characteristic feature/management described in the stem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Clear amniotic fluid with white flecks is</w:t>
      </w:r>
    </w:p>
    <w:p>
      <w:pPr>
        <w:spacing w:after="200" w:line="276" w:lineRule="auto"/>
      </w:pPr>
      <w:r>
        <w:t>(a) Normal (vernix)</w:t>
      </w:r>
    </w:p>
    <w:p>
      <w:pPr>
        <w:spacing w:after="200" w:line="276" w:lineRule="auto"/>
      </w:pPr>
      <w:r>
        <w:t>(b) Meconium</w:t>
      </w:r>
    </w:p>
    <w:p>
      <w:pPr>
        <w:spacing w:after="200" w:line="276" w:lineRule="auto"/>
      </w:pPr>
      <w:r>
        <w:t>(c) Blood</w:t>
      </w:r>
    </w:p>
    <w:p>
      <w:pPr>
        <w:spacing w:after="200" w:line="276" w:lineRule="auto"/>
      </w:pPr>
      <w:r>
        <w:t>(d) Infected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Normal (vernix)</w:t>
      </w:r>
    </w:p>
    <w:p>
      <w:pPr>
        <w:spacing w:after="200" w:line="276" w:lineRule="auto"/>
      </w:pPr>
      <w:r>
        <w:t>🧠 Clinical Rationale: Meconium-stained or foul fluid requires assessment.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Meconium — would be appropriate in a different situation, not this one</w:t>
      </w:r>
    </w:p>
    <w:p>
      <w:pPr>
        <w:spacing w:after="200" w:line="276" w:lineRule="auto"/>
      </w:pPr>
      <w:r>
        <w:t>C. Blood — would be appropriate in a different situation, not this one</w:t>
      </w:r>
    </w:p>
    <w:p>
      <w:pPr>
        <w:spacing w:after="200" w:line="276" w:lineRule="auto"/>
      </w:pPr>
      <w:r>
        <w:t>D. Infected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Decision-making capacity requires</w:t>
      </w:r>
    </w:p>
    <w:p>
      <w:pPr>
        <w:spacing w:after="200" w:line="276" w:lineRule="auto"/>
      </w:pPr>
      <w:r>
        <w:t>(a) Only age</w:t>
      </w:r>
    </w:p>
    <w:p>
      <w:pPr>
        <w:spacing w:after="200" w:line="276" w:lineRule="auto"/>
      </w:pPr>
      <w:r>
        <w:t>(b) Family consent</w:t>
      </w:r>
    </w:p>
    <w:p>
      <w:pPr>
        <w:spacing w:after="200" w:line="276" w:lineRule="auto"/>
      </w:pPr>
      <w:r>
        <w:t>(c) Hospital admission</w:t>
      </w:r>
    </w:p>
    <w:p>
      <w:pPr>
        <w:spacing w:after="200" w:line="276" w:lineRule="auto"/>
      </w:pPr>
      <w:r>
        <w:t>(d) Understanding, appreciation, reasoning and choice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Understanding, appreciation, reasoning and choice</w:t>
      </w:r>
    </w:p>
    <w:p>
      <w:pPr>
        <w:spacing w:after="200" w:line="276" w:lineRule="auto"/>
      </w:pPr>
      <w:r>
        <w:t>🧠 Clinical Rationale: Assess capacity domain-specific — document findings.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age — would be appropriate in a different situation, not this one</w:t>
      </w:r>
    </w:p>
    <w:p>
      <w:pPr>
        <w:spacing w:after="200" w:line="276" w:lineRule="auto"/>
      </w:pPr>
      <w:r>
        <w:t>B. Family consent — would be appropriate in a different situation, not this one</w:t>
      </w:r>
    </w:p>
    <w:p>
      <w:pPr>
        <w:spacing w:after="200" w:line="276" w:lineRule="auto"/>
      </w:pPr>
      <w:r>
        <w:t>C. Hospital admission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Phototherapy decisions use</w:t>
      </w:r>
    </w:p>
    <w:p>
      <w:pPr>
        <w:spacing w:after="200" w:line="276" w:lineRule="auto"/>
      </w:pPr>
      <w:r>
        <w:t>(a) Random values</w:t>
      </w:r>
    </w:p>
    <w:p>
      <w:pPr>
        <w:spacing w:after="200" w:line="276" w:lineRule="auto"/>
      </w:pPr>
      <w:r>
        <w:t>(b) Weight only</w:t>
      </w:r>
    </w:p>
    <w:p>
      <w:pPr>
        <w:spacing w:after="200" w:line="276" w:lineRule="auto"/>
      </w:pPr>
      <w:r>
        <w:t>(c) Feeding type</w:t>
      </w:r>
    </w:p>
    <w:p>
      <w:pPr>
        <w:spacing w:after="200" w:line="276" w:lineRule="auto"/>
      </w:pPr>
      <w:r>
        <w:t>(d) Age-based bilirubin nomograms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Age-based bilirubin nomograms</w:t>
      </w:r>
    </w:p>
    <w:p>
      <w:pPr>
        <w:spacing w:after="200" w:line="276" w:lineRule="auto"/>
      </w:pPr>
      <w:r>
        <w:t>🧠 Clinical Rationale: Bhutani nomograms guide exchange and phototherapy thresholds.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Random values — would be appropriate in a different situation, not this one</w:t>
      </w:r>
    </w:p>
    <w:p>
      <w:pPr>
        <w:spacing w:after="200" w:line="276" w:lineRule="auto"/>
      </w:pPr>
      <w:r>
        <w:t>B. Weight only — would be appropriate in a different situation, not this one</w:t>
      </w:r>
    </w:p>
    <w:p>
      <w:pPr>
        <w:spacing w:after="200" w:line="276" w:lineRule="auto"/>
      </w:pPr>
      <w:r>
        <w:t>C. Feeding type — would be appropriate in a different situation, not this one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vasopressor for septic shock is</w:t>
      </w:r>
    </w:p>
    <w:p>
      <w:pPr>
        <w:spacing w:after="200" w:line="276" w:lineRule="auto"/>
      </w:pPr>
      <w:r>
        <w:t>(a) Dobutamine</w:t>
      </w:r>
    </w:p>
    <w:p>
      <w:pPr>
        <w:spacing w:after="200" w:line="276" w:lineRule="auto"/>
      </w:pPr>
      <w:r>
        <w:t>(b) Noradrenaline</w:t>
      </w:r>
    </w:p>
    <w:p>
      <w:pPr>
        <w:spacing w:after="200" w:line="276" w:lineRule="auto"/>
      </w:pPr>
      <w:r>
        <w:t>(c) Dopamine high dose</w:t>
      </w:r>
    </w:p>
    <w:p>
      <w:pPr>
        <w:spacing w:after="200" w:line="276" w:lineRule="auto"/>
      </w:pPr>
      <w:r>
        <w:t>(d) Phenylephrine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Noradrenaline</w:t>
      </w:r>
    </w:p>
    <w:p>
      <w:pPr>
        <w:spacing w:after="200" w:line="276" w:lineRule="auto"/>
      </w:pPr>
      <w:r>
        <w:t>🧠 Clinical Rationale: Noradrenaline first; add vasopressin if refractory.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Dobutamine — plausible, but not the single most accurate fact asked</w:t>
      </w:r>
    </w:p>
    <w:p>
      <w:pPr>
        <w:spacing w:after="200" w:line="276" w:lineRule="auto"/>
      </w:pPr>
      <w:r>
        <w:t>C. Dopamine high dose — plausible, but not the single most accurate fact asked</w:t>
      </w:r>
    </w:p>
    <w:p>
      <w:pPr>
        <w:spacing w:after="200" w:line="276" w:lineRule="auto"/>
      </w:pPr>
      <w:r>
        <w:t>D. Phenylephrine — plausible, but not the single most accurate fact asked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MRSA-positive patients need</w:t>
      </w:r>
    </w:p>
    <w:p>
      <w:pPr>
        <w:spacing w:after="200" w:line="276" w:lineRule="auto"/>
      </w:pPr>
      <w:r>
        <w:t>(a) Contact precautions (gloves, gown)</w:t>
      </w:r>
    </w:p>
    <w:p>
      <w:pPr>
        <w:spacing w:after="200" w:line="276" w:lineRule="auto"/>
      </w:pPr>
      <w:r>
        <w:t>(b) Airborne precautions</w:t>
      </w:r>
    </w:p>
    <w:p>
      <w:pPr>
        <w:spacing w:after="200" w:line="276" w:lineRule="auto"/>
      </w:pPr>
      <w:r>
        <w:t>(c) Negative pressure</w:t>
      </w:r>
    </w:p>
    <w:p>
      <w:pPr>
        <w:spacing w:after="200" w:line="276" w:lineRule="auto"/>
      </w:pPr>
      <w:r>
        <w:t>(d) No precautions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Contact precautions (gloves, gown)</w:t>
      </w:r>
    </w:p>
    <w:p>
      <w:pPr>
        <w:spacing w:after="200" w:line="276" w:lineRule="auto"/>
      </w:pPr>
      <w:r>
        <w:t>🧠 Clinical Rationale: Contact precautions plus hand hygiene control MRSA.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Airborne precautions — would be appropriate in a different situation, not this one</w:t>
      </w:r>
    </w:p>
    <w:p>
      <w:pPr>
        <w:spacing w:after="200" w:line="276" w:lineRule="auto"/>
      </w:pPr>
      <w:r>
        <w:t>C. Negative pressure — would be appropriate in a different situation, not this one</w:t>
      </w:r>
    </w:p>
    <w:p>
      <w:pPr>
        <w:spacing w:after="200" w:line="276" w:lineRule="auto"/>
      </w:pPr>
      <w:r>
        <w:t>D. No precautions — would be appropriate in a different situation, not this one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Stunting is defined as</w:t>
      </w:r>
    </w:p>
    <w:p>
      <w:pPr>
        <w:spacing w:after="200" w:line="276" w:lineRule="auto"/>
      </w:pPr>
      <w:r>
        <w:t>(a) Low height-for-age (chronic malnutrition)</w:t>
      </w:r>
    </w:p>
    <w:p>
      <w:pPr>
        <w:spacing w:after="200" w:line="276" w:lineRule="auto"/>
      </w:pPr>
      <w:r>
        <w:t>(b) Low weight-for-height</w:t>
      </w:r>
    </w:p>
    <w:p>
      <w:pPr>
        <w:spacing w:after="200" w:line="276" w:lineRule="auto"/>
      </w:pPr>
      <w:r>
        <w:t>(c) Low weight-for-age</w:t>
      </w:r>
    </w:p>
    <w:p>
      <w:pPr>
        <w:spacing w:after="200" w:line="276" w:lineRule="auto"/>
      </w:pPr>
      <w:r>
        <w:t>(d) Overweight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Low height-for-age (chronic malnutrition)</w:t>
      </w:r>
    </w:p>
    <w:p>
      <w:pPr>
        <w:spacing w:after="200" w:line="276" w:lineRule="auto"/>
      </w:pPr>
      <w:r>
        <w:t>🧠 Clinical Rationale: Stunting reflects chronic deprivation; wasting is acute.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Low weight-for-height — plausible, but not the single most accurate fact asked</w:t>
      </w:r>
    </w:p>
    <w:p>
      <w:pPr>
        <w:spacing w:after="200" w:line="276" w:lineRule="auto"/>
      </w:pPr>
      <w:r>
        <w:t>C. Low weight-for-age — plausible, but not the single most accurate fact asked</w:t>
      </w:r>
    </w:p>
    <w:p>
      <w:pPr>
        <w:spacing w:after="200" w:line="276" w:lineRule="auto"/>
      </w:pPr>
      <w:r>
        <w:t>D. Overweight — plausible, but not the single most accurate fact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DAPT after stent placement includes</w:t>
      </w:r>
    </w:p>
    <w:p>
      <w:pPr>
        <w:spacing w:after="200" w:line="276" w:lineRule="auto"/>
      </w:pPr>
      <w:r>
        <w:t>(a) Aspirin alone</w:t>
      </w:r>
    </w:p>
    <w:p>
      <w:pPr>
        <w:spacing w:after="200" w:line="276" w:lineRule="auto"/>
      </w:pPr>
      <w:r>
        <w:t>(b) Aspirin plus a P2Y12 inhibitor (clopidogrel/ticagrelor)</w:t>
      </w:r>
    </w:p>
    <w:p>
      <w:pPr>
        <w:spacing w:after="200" w:line="276" w:lineRule="auto"/>
      </w:pPr>
      <w:r>
        <w:t>(c) Warfarin</w:t>
      </w:r>
    </w:p>
    <w:p>
      <w:pPr>
        <w:spacing w:after="200" w:line="276" w:lineRule="auto"/>
      </w:pPr>
      <w:r>
        <w:t>(d) No therapy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Aspirin plus a P2Y12 inhibitor (clopidogrel/ticagrelor)</w:t>
      </w:r>
    </w:p>
    <w:p>
      <w:pPr>
        <w:spacing w:after="200" w:line="276" w:lineRule="auto"/>
      </w:pPr>
      <w:r>
        <w:t>🧠 Clinical Rationale: DAPT prevents stent thrombosis — adherence is critical.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Aspirin alone — would be appropriate in a different situation, not this one</w:t>
      </w:r>
    </w:p>
    <w:p>
      <w:pPr>
        <w:spacing w:after="200" w:line="276" w:lineRule="auto"/>
      </w:pPr>
      <w:r>
        <w:t>C. Warfarin — would be appropriate in a different situation, not this one</w:t>
      </w:r>
    </w:p>
    <w:p>
      <w:pPr>
        <w:spacing w:after="200" w:line="276" w:lineRule="auto"/>
      </w:pPr>
      <w:r>
        <w:t>D. No therapy — would be appropriate in a different situation, not this one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