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colored IV cannula is used for Infant</w:t>
      </w:r>
    </w:p>
    <w:p>
      <w:pPr>
        <w:spacing w:after="0" w:before="0"/>
      </w:pPr>
      <w:r>
        <w:rPr>
          <w:b w:val="0"/>
          <w:sz w:val="22"/>
        </w:rPr>
        <w:t>(a) Grey</w:t>
      </w:r>
    </w:p>
    <w:p>
      <w:pPr>
        <w:spacing w:after="0" w:before="0"/>
      </w:pPr>
      <w:r>
        <w:rPr>
          <w:b w:val="0"/>
          <w:sz w:val="22"/>
        </w:rPr>
        <w:t>(b) Pink</w:t>
      </w:r>
    </w:p>
    <w:p>
      <w:pPr>
        <w:spacing w:after="0" w:before="0"/>
      </w:pPr>
      <w:r>
        <w:rPr>
          <w:b w:val="0"/>
          <w:sz w:val="22"/>
        </w:rPr>
        <w:t>(c) Yellow</w:t>
      </w:r>
    </w:p>
    <w:p>
      <w:pPr>
        <w:spacing w:after="0" w:before="0"/>
      </w:pPr>
      <w:r>
        <w:rPr>
          <w:b w:val="0"/>
          <w:sz w:val="22"/>
        </w:rPr>
        <w:t>(d) Green</w:t>
      </w:r>
    </w:p>
    <w:p>
      <w:pPr>
        <w:spacing w:after="0" w:before="40"/>
      </w:pPr>
      <w:r>
        <w:rPr>
          <w:b/>
          <w:sz w:val="22"/>
        </w:rPr>
        <w:t>Answer: c</w:t>
      </w:r>
    </w:p>
    <w:p>
      <w:pPr>
        <w:spacing w:after="0" w:before="0"/>
      </w:pPr>
      <w:r>
        <w:rPr>
          <w:b w:val="0"/>
          <w:sz w:val="21"/>
        </w:rPr>
        <w:t>Solution: remals Pelvis Iv cannula [FON) The yellow IV cannula is commonly used for infants as it has a small gauge and is less traumatic for the delicate veins of infants. It is usually used for administering fluids and medications to neonates and young infants.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an example of a tocolytic agent?</w:t>
      </w:r>
    </w:p>
    <w:p>
      <w:pPr>
        <w:spacing w:after="0" w:before="0"/>
      </w:pPr>
      <w:r>
        <w:rPr>
          <w:b w:val="0"/>
          <w:sz w:val="22"/>
        </w:rPr>
        <w:t>(a) MgSO4</w:t>
      </w:r>
    </w:p>
    <w:p>
      <w:pPr>
        <w:spacing w:after="0" w:before="0"/>
      </w:pPr>
      <w:r>
        <w:rPr>
          <w:b w:val="0"/>
          <w:sz w:val="22"/>
        </w:rPr>
        <w:t>(b) Oxytocin</w:t>
      </w:r>
    </w:p>
    <w:p>
      <w:pPr>
        <w:spacing w:after="0" w:before="0"/>
      </w:pPr>
      <w:r>
        <w:rPr>
          <w:b w:val="0"/>
          <w:sz w:val="22"/>
        </w:rPr>
        <w:t>(c) Ergot`s derivatives</w:t>
      </w:r>
    </w:p>
    <w:p>
      <w:pPr>
        <w:spacing w:after="0" w:before="0"/>
      </w:pPr>
      <w:r>
        <w:rPr>
          <w:b w:val="0"/>
          <w:sz w:val="22"/>
        </w:rPr>
        <w:t>(d) Phenergan</w:t>
      </w:r>
    </w:p>
    <w:p>
      <w:pPr>
        <w:spacing w:after="0" w:before="40"/>
      </w:pPr>
      <w:r>
        <w:rPr>
          <w:b/>
          <w:sz w:val="22"/>
        </w:rPr>
        <w:t>Answer: b</w:t>
      </w:r>
    </w:p>
    <w:p>
      <w:pPr>
        <w:spacing w:after="0" w:before="0"/>
      </w:pPr>
      <w:r>
        <w:rPr>
          <w:b w:val="0"/>
          <w:sz w:val="21"/>
        </w:rPr>
        <w:t>Solution: Rationale: Tocolytics are medications used to delay or stop premature labor (labor that starts before 37 weeks of pregnancy). They work by reducing contractions of the uterus and helping to prevent the cervix from dilation soon. Magnesium sulfate is often used to treat preeclampsia, a serious complication of pregnancy that can lead to premature labor, it can also be used as a tocolytic to delay labor. It acts by competetive inhibition to calcium ion either at the motor end plate at the cell membrane reducing calcium influx Decreases acetylcholine release and its sensitivity at the motor end plate. Direct depressant action on the uterine muscle. Other tocolytic agents are: Calcium channel blockers (nifedipine, verapamil), Betamimetics (Terbutaline), Oxytocin antagonists (Atosiban). Reflexes ) Nervous system Drugs in OBG DC Dutta's textbook of Obstetrics. P. 367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DMPA (injectable contraceptive) is supplied by the Government of India free of cost. What is its brand name?</w:t>
      </w:r>
    </w:p>
    <w:p>
      <w:pPr>
        <w:spacing w:after="0" w:before="0"/>
      </w:pPr>
      <w:r>
        <w:rPr>
          <w:b w:val="0"/>
          <w:sz w:val="22"/>
        </w:rPr>
        <w:t>(a) Saheli</w:t>
      </w:r>
    </w:p>
    <w:p>
      <w:pPr>
        <w:spacing w:after="0" w:before="0"/>
      </w:pPr>
      <w:r>
        <w:rPr>
          <w:b w:val="0"/>
          <w:sz w:val="22"/>
        </w:rPr>
        <w:t>(b) Antra</w:t>
      </w:r>
    </w:p>
    <w:p>
      <w:pPr>
        <w:spacing w:after="0" w:before="0"/>
      </w:pPr>
      <w:r>
        <w:rPr>
          <w:b w:val="0"/>
          <w:sz w:val="22"/>
        </w:rPr>
        <w:t>(c) Chayya</w:t>
      </w:r>
    </w:p>
    <w:p>
      <w:pPr>
        <w:spacing w:after="0" w:before="0"/>
      </w:pPr>
      <w:r>
        <w:rPr>
          <w:b w:val="0"/>
          <w:sz w:val="22"/>
        </w:rPr>
        <w:t>(d) Nirodh</w:t>
      </w:r>
    </w:p>
    <w:p>
      <w:pPr>
        <w:spacing w:after="0" w:before="40"/>
      </w:pPr>
      <w:r>
        <w:rPr>
          <w:b/>
          <w:sz w:val="22"/>
        </w:rPr>
        <w:t>Answer: b</w:t>
      </w:r>
    </w:p>
    <w:p>
      <w:pPr>
        <w:spacing w:after="0" w:before="0"/>
      </w:pPr>
      <w:r>
        <w:rPr>
          <w:b w:val="0"/>
          <w:sz w:val="21"/>
        </w:rPr>
        <w:t>Solution: Rationale: Antara is injectable contraceptive brand name for , effective for three months drug whereas Chayya is contraceptive pill under brand name of saheli, effective for one week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side effect of aspirin overdose is</w:t>
      </w:r>
    </w:p>
    <w:p>
      <w:pPr>
        <w:spacing w:after="0" w:before="0"/>
      </w:pPr>
      <w:r>
        <w:rPr>
          <w:b w:val="0"/>
          <w:sz w:val="22"/>
        </w:rPr>
        <w:t>(a) Vertigo</w:t>
      </w:r>
    </w:p>
    <w:p>
      <w:pPr>
        <w:spacing w:after="0" w:before="0"/>
      </w:pPr>
      <w:r>
        <w:rPr>
          <w:b w:val="0"/>
          <w:sz w:val="22"/>
        </w:rPr>
        <w:t>(b) Tinnitus</w:t>
      </w:r>
    </w:p>
    <w:p>
      <w:pPr>
        <w:spacing w:after="0" w:before="0"/>
      </w:pPr>
      <w:r>
        <w:rPr>
          <w:b w:val="0"/>
          <w:sz w:val="22"/>
        </w:rPr>
        <w:t>(c) Lacrimation</w:t>
      </w:r>
    </w:p>
    <w:p>
      <w:pPr>
        <w:spacing w:after="0" w:before="0"/>
      </w:pPr>
      <w:r>
        <w:rPr>
          <w:b w:val="0"/>
          <w:sz w:val="22"/>
        </w:rPr>
        <w:t>(d) Headache</w:t>
      </w:r>
    </w:p>
    <w:p>
      <w:pPr>
        <w:spacing w:after="0" w:before="40"/>
      </w:pPr>
      <w:r>
        <w:rPr>
          <w:b/>
          <w:sz w:val="22"/>
        </w:rPr>
        <w:t>Answer: b</w:t>
      </w:r>
    </w:p>
    <w:p>
      <w:pPr>
        <w:spacing w:after="0" w:before="0"/>
      </w:pPr>
      <w:r>
        <w:rPr>
          <w:b w:val="0"/>
          <w:sz w:val="21"/>
        </w:rPr>
        <w:t>Solution: Rationale: Mild intoxication with acetylsalicylic acid (aspirin) is called salicylism and is experienced commonly when the daily dosage is higher than 4 g. Tinnitus (ringing in the ears) is the most frequent effect noted with intoxication. Hyperventilation may occur, because salicylate stimulates the respiratory center. Fever may result, because salicylate interferes with the metabolic pathways coupling oxygen consumption and heat production. Lilley et al. (2017), pp. 696-697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normal urine output in adults over a 24-hour period?</w:t>
      </w:r>
    </w:p>
    <w:p>
      <w:pPr>
        <w:spacing w:after="0" w:before="0"/>
      </w:pPr>
      <w:r>
        <w:rPr>
          <w:b w:val="0"/>
          <w:sz w:val="22"/>
        </w:rPr>
        <w:t>(a) 500cc</w:t>
      </w:r>
    </w:p>
    <w:p>
      <w:pPr>
        <w:spacing w:after="0" w:before="0"/>
      </w:pPr>
      <w:r>
        <w:rPr>
          <w:b w:val="0"/>
          <w:sz w:val="22"/>
        </w:rPr>
        <w:t>(b) 1500cc</w:t>
      </w:r>
    </w:p>
    <w:p>
      <w:pPr>
        <w:spacing w:after="0" w:before="0"/>
      </w:pPr>
      <w:r>
        <w:rPr>
          <w:b w:val="0"/>
          <w:sz w:val="22"/>
        </w:rPr>
        <w:t>(c) 3000cc</w:t>
      </w:r>
    </w:p>
    <w:p>
      <w:pPr>
        <w:spacing w:after="0" w:before="0"/>
      </w:pPr>
      <w:r>
        <w:rPr>
          <w:b w:val="0"/>
          <w:sz w:val="22"/>
        </w:rPr>
        <w:t>(d) 2500cc</w:t>
      </w:r>
    </w:p>
    <w:p>
      <w:pPr>
        <w:spacing w:after="0" w:before="40"/>
      </w:pPr>
      <w:r>
        <w:rPr>
          <w:b/>
          <w:sz w:val="22"/>
        </w:rPr>
        <w:t>Answer: b</w:t>
      </w:r>
    </w:p>
    <w:p>
      <w:pPr>
        <w:spacing w:after="0" w:before="0"/>
      </w:pPr>
      <w:r>
        <w:rPr>
          <w:b w:val="0"/>
          <w:sz w:val="21"/>
        </w:rPr>
        <w:t>Solution: Important instruments &amp; devices Urinary eliminatio E FOx) The normal urine output in adults over a 24-hour period is approximately 1500cc (option b). This value may vary depending on factors such as fluid intake, fluid loss through sweating and respiration, and individual patient characteristics. Monitoring urine output is an essential component of assessing renal function and fluid balance in patients. Significant deviations from the normal range may indicate underlying kidney dysfunction or fluid imbalances that warrant further investigation and intervention.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should be stored in freezer compartment of the refrigerator?</w:t>
      </w:r>
    </w:p>
    <w:p>
      <w:pPr>
        <w:spacing w:after="0" w:before="0"/>
      </w:pPr>
      <w:r>
        <w:rPr>
          <w:b w:val="0"/>
          <w:sz w:val="22"/>
        </w:rPr>
        <w:t>(a) DPT</w:t>
      </w:r>
    </w:p>
    <w:p>
      <w:pPr>
        <w:spacing w:after="0" w:before="0"/>
      </w:pPr>
      <w:r>
        <w:rPr>
          <w:b w:val="0"/>
          <w:sz w:val="22"/>
        </w:rPr>
        <w:t>(b) Hepatitis B</w:t>
      </w:r>
    </w:p>
    <w:p>
      <w:pPr>
        <w:spacing w:after="0" w:before="0"/>
      </w:pPr>
      <w:r>
        <w:rPr>
          <w:b w:val="0"/>
          <w:sz w:val="22"/>
        </w:rPr>
        <w:t>(c) Measles</w:t>
      </w:r>
    </w:p>
    <w:p>
      <w:pPr>
        <w:spacing w:after="0" w:before="0"/>
      </w:pPr>
      <w:r>
        <w:rPr>
          <w:b w:val="0"/>
          <w:sz w:val="22"/>
        </w:rPr>
        <w:t>(d) BCG</w:t>
      </w:r>
    </w:p>
    <w:p>
      <w:pPr>
        <w:spacing w:after="0" w:before="40"/>
      </w:pPr>
      <w:r>
        <w:rPr>
          <w:b/>
          <w:sz w:val="22"/>
        </w:rPr>
        <w:t>Answer: c</w:t>
      </w:r>
    </w:p>
    <w:p>
      <w:pPr>
        <w:spacing w:after="0" w:before="0"/>
      </w:pPr>
      <w:r>
        <w:rPr>
          <w:b w:val="0"/>
          <w:sz w:val="21"/>
        </w:rPr>
        <w:t>Solution: Rationale: Measles, mumps, and rubella vaccine, can be stored in a regular freezer at a temperature of -15°C (5°F) to -25°C (-13°F). The varicella (chickenpox) vaccine can also be stored in a freezer, but at a slightly higher temperature range of -50°C (-58°F) to -15°C (5°F).</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latest guidelines of WHO, in which container should pus-soiled cotton swabs be discarded?</w:t>
      </w:r>
    </w:p>
    <w:p>
      <w:pPr>
        <w:spacing w:after="0" w:before="0"/>
      </w:pPr>
      <w:r>
        <w:rPr>
          <w:b w:val="0"/>
          <w:sz w:val="22"/>
        </w:rPr>
        <w:t>(a) Yellow</w:t>
      </w:r>
    </w:p>
    <w:p>
      <w:pPr>
        <w:spacing w:after="0" w:before="0"/>
      </w:pPr>
      <w:r>
        <w:rPr>
          <w:b w:val="0"/>
          <w:sz w:val="22"/>
        </w:rPr>
        <w:t>(b) Red</w:t>
      </w:r>
    </w:p>
    <w:p>
      <w:pPr>
        <w:spacing w:after="0" w:before="0"/>
      </w:pPr>
      <w:r>
        <w:rPr>
          <w:b w:val="0"/>
          <w:sz w:val="22"/>
        </w:rPr>
        <w:t>(c) Black</w:t>
      </w:r>
    </w:p>
    <w:p>
      <w:pPr>
        <w:spacing w:after="0" w:before="0"/>
      </w:pPr>
      <w:r>
        <w:rPr>
          <w:b w:val="0"/>
          <w:sz w:val="22"/>
        </w:rPr>
        <w:t>(d) Card board</w:t>
      </w:r>
    </w:p>
    <w:p>
      <w:pPr>
        <w:spacing w:after="0" w:before="40"/>
      </w:pPr>
      <w:r>
        <w:rPr>
          <w:b/>
          <w:sz w:val="22"/>
        </w:rPr>
        <w:t>Answer: a</w:t>
      </w:r>
    </w:p>
    <w:p>
      <w:pPr>
        <w:spacing w:after="0" w:before="0"/>
      </w:pPr>
      <w:r>
        <w:rPr>
          <w:b w:val="0"/>
          <w:sz w:val="21"/>
        </w:rPr>
        <w:t>Solution: According to the latest guidelines of the World Health Organization (WHO), pus-soiled cotton swabs should be discarded in a yellow container (option a). Proper disposal of contaminated materials is crucial to prevent the spread of infections and ensure a safe healthcare environment. The use of color-coded containers helps healthcare workers identify and segregate different types of waste for appropriate handling and disposal. Pus-soiled cotton swabs are considered infectious waste and should be disposed of in a designated container specifically designated for such waste. Adhering to BMU E Micros - these guidelines promotes infection control and protects both healthcare workers and patients.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delirium in older adults?</w:t>
      </w:r>
    </w:p>
    <w:p>
      <w:pPr>
        <w:spacing w:after="0" w:before="0"/>
      </w:pPr>
      <w:r>
        <w:rPr>
          <w:b w:val="0"/>
          <w:sz w:val="22"/>
        </w:rPr>
        <w:t>(a) Long term medicine</w:t>
      </w:r>
    </w:p>
    <w:p>
      <w:pPr>
        <w:spacing w:after="0" w:before="0"/>
      </w:pPr>
      <w:r>
        <w:rPr>
          <w:b w:val="0"/>
          <w:sz w:val="22"/>
        </w:rPr>
        <w:t>(b) Alcohol withdrawal</w:t>
      </w:r>
    </w:p>
    <w:p>
      <w:pPr>
        <w:spacing w:after="0" w:before="0"/>
      </w:pPr>
      <w:r>
        <w:rPr>
          <w:b w:val="0"/>
          <w:sz w:val="22"/>
        </w:rPr>
        <w:t>(c) Hypoxia</w:t>
      </w:r>
    </w:p>
    <w:p>
      <w:pPr>
        <w:spacing w:after="0" w:before="0"/>
      </w:pPr>
      <w:r>
        <w:rPr>
          <w:b w:val="0"/>
          <w:sz w:val="22"/>
        </w:rPr>
        <w:t>(d) Dementia</w:t>
      </w:r>
    </w:p>
    <w:p>
      <w:pPr>
        <w:spacing w:after="0" w:before="40"/>
      </w:pPr>
      <w:r>
        <w:rPr>
          <w:b/>
          <w:sz w:val="22"/>
        </w:rPr>
        <w:t>Answer: d</w:t>
      </w:r>
    </w:p>
    <w:p>
      <w:pPr>
        <w:spacing w:after="0" w:before="0"/>
      </w:pPr>
      <w:r>
        <w:rPr>
          <w:b w:val="0"/>
          <w:sz w:val="21"/>
        </w:rPr>
        <w:t>Solution: Rationale:- Older adults with dementia may be more susceptible to delirium due to the underlying brain changes and increased vulnerability to medical conditions, infections, and other factors that can trigger delirium.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additional calorie requirement during pregnancy?</w:t>
      </w:r>
    </w:p>
    <w:p>
      <w:pPr>
        <w:spacing w:after="0" w:before="0"/>
      </w:pPr>
      <w:r>
        <w:rPr>
          <w:b w:val="0"/>
          <w:sz w:val="22"/>
        </w:rPr>
        <w:t>(a) 300</w:t>
      </w:r>
    </w:p>
    <w:p>
      <w:pPr>
        <w:spacing w:after="0" w:before="0"/>
      </w:pPr>
      <w:r>
        <w:rPr>
          <w:b w:val="0"/>
          <w:sz w:val="22"/>
        </w:rPr>
        <w:t>(b) 250</w:t>
      </w:r>
    </w:p>
    <w:p>
      <w:pPr>
        <w:spacing w:after="0" w:before="0"/>
      </w:pPr>
      <w:r>
        <w:rPr>
          <w:b w:val="0"/>
          <w:sz w:val="22"/>
        </w:rPr>
        <w:t>(c) 500</w:t>
      </w:r>
    </w:p>
    <w:p>
      <w:pPr>
        <w:spacing w:after="0" w:before="0"/>
      </w:pPr>
      <w:r>
        <w:rPr>
          <w:b w:val="0"/>
          <w:sz w:val="22"/>
        </w:rPr>
        <w:t>(d) 1000</w:t>
      </w:r>
    </w:p>
    <w:p>
      <w:pPr>
        <w:spacing w:after="0" w:before="40"/>
      </w:pPr>
      <w:r>
        <w:rPr>
          <w:b/>
          <w:sz w:val="22"/>
        </w:rPr>
        <w:t>Answer: a</w:t>
      </w:r>
    </w:p>
    <w:p>
      <w:pPr>
        <w:spacing w:after="0" w:before="0"/>
      </w:pPr>
      <w:r>
        <w:rPr>
          <w:b w:val="0"/>
          <w:sz w:val="21"/>
        </w:rPr>
        <w:t>Solution: During pregnancy, there is an additional calorie requirement to support the growth and development of the fetus. The recommended additional calorie requirement is approximately 300 calories (option a). However, it's important to note that individual calorie needs may vary based on factors such as pre-pregnancy weight, activity level, and overall health. Adequate calorie intake during pregnancy is crucial to provide the necessary energy for the mother and support the nutritional needs of the developing baby. Healthcare providers often provide guidance on appropriate calorie intake and balanced nutrition to ensure a healthy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.Normal PH of amniotic fluid?</w:t>
      </w:r>
    </w:p>
    <w:p>
      <w:pPr>
        <w:spacing w:after="0" w:before="0"/>
      </w:pPr>
      <w:r>
        <w:rPr>
          <w:b w:val="0"/>
          <w:sz w:val="22"/>
        </w:rPr>
        <w:t>(a) 3 to 5</w:t>
      </w:r>
    </w:p>
    <w:p>
      <w:pPr>
        <w:spacing w:after="0" w:before="0"/>
      </w:pPr>
      <w:r>
        <w:rPr>
          <w:b w:val="0"/>
          <w:sz w:val="22"/>
        </w:rPr>
        <w:t>(b) 5.5 to 6.5</w:t>
      </w:r>
    </w:p>
    <w:p>
      <w:pPr>
        <w:spacing w:after="0" w:before="0"/>
      </w:pPr>
      <w:r>
        <w:rPr>
          <w:b w:val="0"/>
          <w:sz w:val="22"/>
        </w:rPr>
        <w:t>(c) Above 6.5</w:t>
      </w:r>
    </w:p>
    <w:p>
      <w:pPr>
        <w:spacing w:after="0" w:before="0"/>
      </w:pPr>
      <w:r>
        <w:rPr>
          <w:b w:val="0"/>
          <w:sz w:val="22"/>
        </w:rPr>
        <w:t>(d) 4.5 to 5.5</w:t>
      </w:r>
    </w:p>
    <w:p>
      <w:pPr>
        <w:spacing w:after="0" w:before="40"/>
      </w:pPr>
      <w:r>
        <w:rPr>
          <w:b/>
          <w:sz w:val="22"/>
        </w:rPr>
        <w:t>Answer: c</w:t>
      </w:r>
    </w:p>
    <w:p>
      <w:pPr>
        <w:spacing w:after="0" w:before="0"/>
      </w:pPr>
      <w:r>
        <w:rPr>
          <w:b w:val="0"/>
          <w:sz w:val="21"/>
        </w:rPr>
        <w:t>Solution: Rationale:- The normal pH of amniotic fluid ranges between 7.0 and 7.5. This pH range is maintained by the balance of acid-base homeostasis in the amniotic fluid, which is regulated by the fetus and the placenta. The pH of amniotic fluid can be affected by various factors such as fetal distress, infection, meconium staining, and umbilical cord compression.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a road traffic accident (RTA), a patient arrives at the emergency department with massive blood loss. Which color of cannula should a prudent nurse use to administer a large amount of fluid or blood?</w:t>
      </w:r>
    </w:p>
    <w:p>
      <w:pPr>
        <w:spacing w:after="0" w:before="0"/>
      </w:pPr>
      <w:r>
        <w:rPr>
          <w:b w:val="0"/>
          <w:sz w:val="22"/>
        </w:rPr>
        <w:t>(a) Grey</w:t>
      </w:r>
    </w:p>
    <w:p>
      <w:pPr>
        <w:spacing w:after="0" w:before="0"/>
      </w:pPr>
      <w:r>
        <w:rPr>
          <w:b w:val="0"/>
          <w:sz w:val="22"/>
        </w:rPr>
        <w:t>(b) Green</w:t>
      </w:r>
    </w:p>
    <w:p>
      <w:pPr>
        <w:spacing w:after="0" w:before="0"/>
      </w:pPr>
      <w:r>
        <w:rPr>
          <w:b w:val="0"/>
          <w:sz w:val="22"/>
        </w:rPr>
        <w:t>(c) Blue</w:t>
      </w:r>
    </w:p>
    <w:p>
      <w:pPr>
        <w:spacing w:after="0" w:before="0"/>
      </w:pPr>
      <w:r>
        <w:rPr>
          <w:b w:val="0"/>
          <w:sz w:val="22"/>
        </w:rPr>
        <w:t>(d) Pink</w:t>
      </w:r>
    </w:p>
    <w:p>
      <w:pPr>
        <w:spacing w:after="0" w:before="40"/>
      </w:pPr>
      <w:r>
        <w:rPr>
          <w:b/>
          <w:sz w:val="22"/>
        </w:rPr>
        <w:t>Answer: a</w:t>
      </w:r>
    </w:p>
    <w:p>
      <w:pPr>
        <w:spacing w:after="0" w:before="0"/>
      </w:pPr>
      <w:r>
        <w:rPr>
          <w:b w:val="0"/>
          <w:sz w:val="21"/>
        </w:rPr>
        <w:t>Solution: In the case of a patient arriving at the emergency department with massive blood loss after a road traffic accident (RTA), a prudent nurse should use a large-bore cannula, typically colored grey (option a), to administer a large amount of fluid or blood. A large-bore cannula allows for the rapid and efficient administration of fluids or blood products to address the patient's critical condition. The larger diameter of the cannula facilitates the flow of fluids and helps replace the lost volume more quickly. Prompt and appropriate fluid resuscitation is crucial in managing patients with significant blood loss to stabilize their condition and restore circulating volume.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best things to break chain of infection?</w:t>
      </w:r>
    </w:p>
    <w:p>
      <w:pPr>
        <w:spacing w:after="0" w:before="0"/>
      </w:pPr>
      <w:r>
        <w:rPr>
          <w:b w:val="0"/>
          <w:sz w:val="22"/>
        </w:rPr>
        <w:t>(a) Hand wash</w:t>
      </w:r>
    </w:p>
    <w:p>
      <w:pPr>
        <w:spacing w:after="0" w:before="0"/>
      </w:pPr>
      <w:r>
        <w:rPr>
          <w:b w:val="0"/>
          <w:sz w:val="22"/>
        </w:rPr>
        <w:t>(b) Gown and glows for respiratory patient</w:t>
      </w:r>
    </w:p>
    <w:p>
      <w:pPr>
        <w:spacing w:after="0" w:before="0"/>
      </w:pPr>
      <w:r>
        <w:rPr>
          <w:b w:val="0"/>
          <w:sz w:val="22"/>
        </w:rPr>
        <w:t>(c) Gloves for all patient before body touch</w:t>
      </w:r>
    </w:p>
    <w:p>
      <w:pPr>
        <w:spacing w:after="0" w:before="0"/>
      </w:pPr>
      <w:r>
        <w:rPr>
          <w:b w:val="0"/>
          <w:sz w:val="22"/>
        </w:rPr>
        <w:t>(d) All of the above</w:t>
      </w:r>
    </w:p>
    <w:p>
      <w:pPr>
        <w:spacing w:after="0" w:before="40"/>
      </w:pPr>
      <w:r>
        <w:rPr>
          <w:b/>
          <w:sz w:val="22"/>
        </w:rPr>
        <w:t>Answer: a</w:t>
      </w:r>
    </w:p>
    <w:p>
      <w:pPr>
        <w:spacing w:after="0" w:before="0"/>
      </w:pPr>
      <w:r>
        <w:rPr>
          <w:b w:val="0"/>
          <w:sz w:val="21"/>
        </w:rPr>
        <w:t>Solution: Rationale:- Folly's -visation - el calk CFOT Standard Precaution 7 FON) The spread of an infection within a community is described as a "chain," several interconnected steps that describe how a pathogen moves about. Infection control and contact tracing are meant to break the chain, preventing a pathogen from spreading. Hand hygiene plays an important role in spreading germs and is a very effective way to control the spread of chain of infection includes washing hands with soap and water, or using an alcohol-based hand rub.</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are the air quality index include all, except?</w:t>
      </w:r>
    </w:p>
    <w:p>
      <w:pPr>
        <w:spacing w:after="0" w:before="0"/>
      </w:pPr>
      <w:r>
        <w:rPr>
          <w:b w:val="0"/>
          <w:sz w:val="22"/>
        </w:rPr>
        <w:t>(a) PM10</w:t>
      </w:r>
    </w:p>
    <w:p>
      <w:pPr>
        <w:spacing w:after="0" w:before="0"/>
      </w:pPr>
      <w:r>
        <w:rPr>
          <w:b w:val="0"/>
          <w:sz w:val="22"/>
        </w:rPr>
        <w:t>(b) PM5</w:t>
      </w:r>
    </w:p>
    <w:p>
      <w:pPr>
        <w:spacing w:after="0" w:before="0"/>
      </w:pPr>
      <w:r>
        <w:rPr>
          <w:b w:val="0"/>
          <w:sz w:val="22"/>
        </w:rPr>
        <w:t>(c) SO2</w:t>
      </w:r>
    </w:p>
    <w:p>
      <w:pPr>
        <w:spacing w:after="0" w:before="0"/>
      </w:pPr>
      <w:r>
        <w:rPr>
          <w:b w:val="0"/>
          <w:sz w:val="22"/>
        </w:rPr>
        <w:t>(d) NO2</w:t>
      </w:r>
    </w:p>
    <w:p>
      <w:pPr>
        <w:spacing w:after="0" w:before="40"/>
      </w:pPr>
      <w:r>
        <w:rPr>
          <w:b/>
          <w:sz w:val="22"/>
        </w:rPr>
        <w:t>Answer: b</w:t>
      </w:r>
    </w:p>
    <w:p>
      <w:pPr>
        <w:spacing w:after="0" w:before="0"/>
      </w:pPr>
      <w:r>
        <w:rPr>
          <w:b w:val="0"/>
          <w:sz w:val="21"/>
        </w:rPr>
        <w:t>Solution: Rationale:- The air quality index (AQI) is a measure of air quality used by government agencies and researchers to communicate how polluted the air is in a specific area. The AQI is calculated based on the concentration of various pollutants in the air, including particulate matter (PM2.5 and PM10), ozone, carbon monoxide, sulphur dioxide, and nitrogen dioxide.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Purpose of national deworming day?</w:t>
      </w:r>
    </w:p>
    <w:p>
      <w:pPr>
        <w:spacing w:after="0" w:before="0"/>
      </w:pPr>
      <w:r>
        <w:rPr>
          <w:b w:val="0"/>
          <w:sz w:val="22"/>
        </w:rPr>
        <w:t>(a) Eradicate intestinal worms</w:t>
      </w:r>
    </w:p>
    <w:p>
      <w:pPr>
        <w:spacing w:after="0" w:before="0"/>
      </w:pPr>
      <w:r>
        <w:rPr>
          <w:b w:val="0"/>
          <w:sz w:val="22"/>
        </w:rPr>
        <w:t>(b) Improve breast feeding</w:t>
      </w:r>
    </w:p>
    <w:p>
      <w:pPr>
        <w:spacing w:after="0" w:before="0"/>
      </w:pPr>
      <w:r>
        <w:rPr>
          <w:b w:val="0"/>
          <w:sz w:val="22"/>
        </w:rPr>
        <w:t>(c) Improve IMR &amp; MMR</w:t>
      </w:r>
    </w:p>
    <w:p>
      <w:pPr>
        <w:spacing w:after="0" w:before="0"/>
      </w:pPr>
      <w:r>
        <w:rPr>
          <w:b w:val="0"/>
          <w:sz w:val="22"/>
        </w:rPr>
        <w:t>(d) Eradicate poverty</w:t>
      </w:r>
    </w:p>
    <w:p>
      <w:pPr>
        <w:spacing w:after="0" w:before="40"/>
      </w:pPr>
      <w:r>
        <w:rPr>
          <w:b/>
          <w:sz w:val="22"/>
        </w:rPr>
        <w:t>Answer: b</w:t>
      </w:r>
    </w:p>
    <w:p>
      <w:pPr>
        <w:spacing w:after="0" w:before="0"/>
      </w:pPr>
      <w:r>
        <w:rPr>
          <w:b w:val="0"/>
          <w:sz w:val="21"/>
        </w:rPr>
        <w:t>Solution: Rationale:- The National Deworming Day is observed on February 10 every year. It is an initiative of Ministry of Health and Family Welfare, Government of India to make every child in the country worm free. The objective of National Deworming Day is to deworm all preschool and school-age children (enrolled and non-enrolled) between the ages of 1-19 years through the platform of schools and Ang anwadi Centers in order to improve their overall health, nutritional status, access to education and quality of life.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tuberculin skin test (Mantoux test), how is the standard substance protein purified derivative (PPD) typically injected into the forearm?</w:t>
      </w:r>
    </w:p>
    <w:p>
      <w:pPr>
        <w:spacing w:after="0" w:before="0"/>
      </w:pPr>
      <w:r>
        <w:rPr>
          <w:b w:val="0"/>
          <w:sz w:val="22"/>
        </w:rPr>
        <w:t>(a) Intramuscularly</w:t>
      </w:r>
    </w:p>
    <w:p>
      <w:pPr>
        <w:spacing w:after="0" w:before="0"/>
      </w:pPr>
      <w:r>
        <w:rPr>
          <w:b w:val="0"/>
          <w:sz w:val="22"/>
        </w:rPr>
        <w:t>(b) Intra-dermally</w:t>
      </w:r>
    </w:p>
    <w:p>
      <w:pPr>
        <w:spacing w:after="0" w:before="0"/>
      </w:pPr>
      <w:r>
        <w:rPr>
          <w:b w:val="0"/>
          <w:sz w:val="22"/>
        </w:rPr>
        <w:t>(c) Intravenously</w:t>
      </w:r>
    </w:p>
    <w:p>
      <w:pPr>
        <w:spacing w:after="0" w:before="0"/>
      </w:pPr>
      <w:r>
        <w:rPr>
          <w:b w:val="0"/>
          <w:sz w:val="22"/>
        </w:rPr>
        <w:t>(d) Subcutaneously</w:t>
      </w:r>
    </w:p>
    <w:p>
      <w:pPr>
        <w:spacing w:after="0" w:before="40"/>
      </w:pPr>
      <w:r>
        <w:rPr>
          <w:b/>
          <w:sz w:val="22"/>
        </w:rPr>
        <w:t>Answer: b</w:t>
      </w:r>
    </w:p>
    <w:p>
      <w:pPr>
        <w:spacing w:after="0" w:before="0"/>
      </w:pPr>
      <w:r>
        <w:rPr>
          <w:b w:val="0"/>
          <w:sz w:val="21"/>
        </w:rPr>
        <w:t>Solution: In the tuberculin skin test (Mantoux test), the standard substance protein purified derivative (PPD) is typically injected intradermally into the forearm, which is the correct answer (b). The PPD is a small amount of fluid containing the antigens derived from Mycobacterium tuberculosis. It is injected just below the surface of the skin, specifically within the layers of the dermis. This allows for the accurate assessment of the immune response to the tuberculosis antigens by observing the presence and size of the resulting induration or swelling at the injection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in alcohol withdrawal symptoms?</w:t>
      </w:r>
    </w:p>
    <w:p>
      <w:pPr>
        <w:spacing w:after="0" w:before="0"/>
      </w:pPr>
      <w:r>
        <w:rPr>
          <w:b w:val="0"/>
          <w:sz w:val="22"/>
        </w:rPr>
        <w:t>(a) Chlordiazepoxide</w:t>
      </w:r>
    </w:p>
    <w:p>
      <w:pPr>
        <w:spacing w:after="0" w:before="0"/>
      </w:pPr>
      <w:r>
        <w:rPr>
          <w:b w:val="0"/>
          <w:sz w:val="22"/>
        </w:rPr>
        <w:t>(b) Diazepam</w:t>
      </w:r>
    </w:p>
    <w:p>
      <w:pPr>
        <w:spacing w:after="0" w:before="0"/>
      </w:pPr>
      <w:r>
        <w:rPr>
          <w:b w:val="0"/>
          <w:sz w:val="22"/>
        </w:rPr>
        <w:t>(c) Naltrexone</w:t>
      </w:r>
    </w:p>
    <w:p>
      <w:pPr>
        <w:spacing w:after="0" w:before="0"/>
      </w:pPr>
      <w:r>
        <w:rPr>
          <w:b w:val="0"/>
          <w:sz w:val="22"/>
        </w:rPr>
        <w:t>(d) Naloxone</w:t>
      </w:r>
    </w:p>
    <w:p>
      <w:pPr>
        <w:spacing w:after="0" w:before="40"/>
      </w:pPr>
      <w:r>
        <w:rPr>
          <w:b/>
          <w:sz w:val="22"/>
        </w:rPr>
        <w:t>Answer: a</w:t>
      </w:r>
    </w:p>
    <w:p>
      <w:pPr>
        <w:spacing w:after="0" w:before="0"/>
      </w:pPr>
      <w:r>
        <w:rPr>
          <w:b w:val="0"/>
          <w:sz w:val="21"/>
        </w:rPr>
        <w:t>Solution: Naloxone is not used in alcohol withdrawal symptoms, as it is a medication used to reverse the effects of opioids. Alcohol withdrawal symptoms are typically treated with benzodiazepines such as chlordiazepoxide and diazepam, which act on the gamma-aminobutyric acid (GABA) receptors in the brain to reduce anxiety and seizures. Naltrexone, on the other hand, is an opioid antagonist that is used to reduce cravings for alcohol in patients with alcohol use disorder, but is not typically used to treat acute withdrawal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anti-tubercular medication has the side effect of Pinkish orange colour urine?</w:t>
      </w:r>
    </w:p>
    <w:p>
      <w:pPr>
        <w:spacing w:after="0" w:before="0"/>
      </w:pPr>
      <w:r>
        <w:rPr>
          <w:b w:val="0"/>
          <w:sz w:val="22"/>
        </w:rPr>
        <w:t>(a) Rifampin</w:t>
      </w:r>
    </w:p>
    <w:p>
      <w:pPr>
        <w:spacing w:after="0" w:before="0"/>
      </w:pPr>
      <w:r>
        <w:rPr>
          <w:b w:val="0"/>
          <w:sz w:val="22"/>
        </w:rPr>
        <w:t>(b) Ethambutol</w:t>
      </w:r>
    </w:p>
    <w:p>
      <w:pPr>
        <w:spacing w:after="0" w:before="0"/>
      </w:pPr>
      <w:r>
        <w:rPr>
          <w:b w:val="0"/>
          <w:sz w:val="22"/>
        </w:rPr>
        <w:t>(c) Pyrazinamide</w:t>
      </w:r>
    </w:p>
    <w:p>
      <w:pPr>
        <w:spacing w:after="0" w:before="0"/>
      </w:pPr>
      <w:r>
        <w:rPr>
          <w:b w:val="0"/>
          <w:sz w:val="22"/>
        </w:rPr>
        <w:t>(d) Isoniazid</w:t>
      </w:r>
    </w:p>
    <w:p>
      <w:pPr>
        <w:spacing w:after="0" w:before="40"/>
      </w:pPr>
      <w:r>
        <w:rPr>
          <w:b/>
          <w:sz w:val="22"/>
        </w:rPr>
        <w:t>Answer: b</w:t>
      </w:r>
    </w:p>
    <w:p>
      <w:pPr>
        <w:spacing w:after="0" w:before="0"/>
      </w:pPr>
      <w:r>
        <w:rPr>
          <w:b w:val="0"/>
          <w:sz w:val="21"/>
        </w:rPr>
        <w:t>Solution: Rationale:- First-Line Medications for Tuberculosis. Side and adverse effects including hypersensitivity, heartburn, nausea, vomiting, diarrhoea, red-orange coloured body secretions, vision changes, hepatotoxicity and hepatitis, increased uric acid, blood dyscrasias and colitis. The side effects from ethambutol can cause optic and peripheral neuritis, and that of isoniazid are peripheral neuritis, neurotoxicity, hepatotoxicity and pyridoxine deciency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Trendelenburg gait is seen in:</w:t>
      </w:r>
    </w:p>
    <w:p>
      <w:pPr>
        <w:spacing w:after="0" w:before="0"/>
      </w:pPr>
      <w:r>
        <w:rPr>
          <w:b w:val="0"/>
          <w:sz w:val="22"/>
        </w:rPr>
        <w:t>(a) Osteogenic imperfect</w:t>
      </w:r>
    </w:p>
    <w:p>
      <w:pPr>
        <w:spacing w:after="0" w:before="0"/>
      </w:pPr>
      <w:r>
        <w:rPr>
          <w:b w:val="0"/>
          <w:sz w:val="22"/>
        </w:rPr>
        <w:t>(b) Developmental display of hip</w:t>
      </w:r>
    </w:p>
    <w:p>
      <w:pPr>
        <w:spacing w:after="0" w:before="0"/>
      </w:pPr>
      <w:r>
        <w:rPr>
          <w:b w:val="0"/>
          <w:sz w:val="22"/>
        </w:rPr>
        <w:t>(c) Spina bifida</w:t>
      </w:r>
    </w:p>
    <w:p>
      <w:pPr>
        <w:spacing w:after="0" w:before="0"/>
      </w:pPr>
      <w:r>
        <w:rPr>
          <w:b w:val="0"/>
          <w:sz w:val="22"/>
        </w:rPr>
        <w:t>(d) Osteosarcoma</w:t>
      </w:r>
    </w:p>
    <w:p>
      <w:pPr>
        <w:spacing w:after="0" w:before="40"/>
      </w:pPr>
      <w:r>
        <w:rPr>
          <w:b/>
          <w:sz w:val="22"/>
        </w:rPr>
        <w:t>Answer: b</w:t>
      </w:r>
    </w:p>
    <w:p>
      <w:pPr>
        <w:spacing w:after="0" w:before="0"/>
      </w:pPr>
      <w:r>
        <w:rPr>
          <w:b w:val="0"/>
          <w:sz w:val="21"/>
        </w:rPr>
        <w:t>Solution: Trendelenburg gait is a walking pattern where the pelvis tilts to one side while walking, usually due to weakness or instability in the hip abductor muscles. Developmental dysplasia of the hip (DDH) is a condition where the hip joint doesn`t develop properly, leading to instability, and it can result in a Trendelenburg gait as one of the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Coagulopathy</w:t>
      </w:r>
    </w:p>
    <w:p>
      <w:pPr>
        <w:spacing w:after="0" w:before="0"/>
      </w:pPr>
      <w:r>
        <w:rPr>
          <w:b w:val="0"/>
          <w:sz w:val="22"/>
        </w:rPr>
        <w:t>(b) Tumour in liver</w:t>
      </w:r>
    </w:p>
    <w:p>
      <w:pPr>
        <w:spacing w:after="0" w:before="0"/>
      </w:pPr>
      <w:r>
        <w:rPr>
          <w:b w:val="0"/>
          <w:sz w:val="22"/>
        </w:rPr>
        <w:t>(c) Pneumothorax</w:t>
      </w:r>
    </w:p>
    <w:p>
      <w:pPr>
        <w:spacing w:after="0" w:before="0"/>
      </w:pPr>
      <w:r>
        <w:rPr>
          <w:b w:val="0"/>
          <w:sz w:val="22"/>
        </w:rPr>
        <w:t>(d) Bleeding</w:t>
      </w:r>
    </w:p>
    <w:p>
      <w:pPr>
        <w:spacing w:after="0" w:before="40"/>
      </w:pPr>
      <w:r>
        <w:rPr>
          <w:b/>
          <w:sz w:val="22"/>
        </w:rPr>
        <w:t>Answer: a</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continue enteral feeding, in which position placed the patient to prevent aspiration?</w:t>
      </w:r>
    </w:p>
    <w:p>
      <w:pPr>
        <w:spacing w:after="0" w:before="0"/>
      </w:pPr>
      <w:r>
        <w:rPr>
          <w:b w:val="0"/>
          <w:sz w:val="22"/>
        </w:rPr>
        <w:t>(a) Head elevate</w:t>
      </w:r>
    </w:p>
    <w:p>
      <w:pPr>
        <w:spacing w:after="0" w:before="0"/>
      </w:pPr>
      <w:r>
        <w:rPr>
          <w:b w:val="0"/>
          <w:sz w:val="22"/>
        </w:rPr>
        <w:t>(b) Left lateral</w:t>
      </w:r>
    </w:p>
    <w:p>
      <w:pPr>
        <w:spacing w:after="0" w:before="0"/>
      </w:pPr>
      <w:r>
        <w:rPr>
          <w:b w:val="0"/>
          <w:sz w:val="22"/>
        </w:rPr>
        <w:t>(c) Keep supine</w:t>
      </w:r>
    </w:p>
    <w:p>
      <w:pPr>
        <w:spacing w:after="0" w:before="0"/>
      </w:pPr>
      <w:r>
        <w:rPr>
          <w:b w:val="0"/>
          <w:sz w:val="22"/>
        </w:rPr>
        <w:t>(d) Sims</w:t>
      </w:r>
    </w:p>
    <w:p>
      <w:pPr>
        <w:spacing w:after="0" w:before="40"/>
      </w:pPr>
      <w:r>
        <w:rPr>
          <w:b/>
          <w:sz w:val="22"/>
        </w:rPr>
        <w:t>Answer: a</w:t>
      </w:r>
    </w:p>
    <w:p>
      <w:pPr>
        <w:spacing w:after="0" w:before="0"/>
      </w:pPr>
      <w:r>
        <w:rPr>
          <w:b w:val="0"/>
          <w:sz w:val="21"/>
        </w:rPr>
        <w:t>Solution: To prevent aspiration in a patient receiving continuous enteral feeding, the head should be elevated (option A). Keeping the head of the bed elevated helps to prevent the reflux of gastric contents into the upper respiratory tract and reduces the risk of aspiration pneumonia. Elevating the head of the bed at an angle of 30 to 45 degrees is commonly recommended. This position promotes the downward flow of the enteral feeding and helps maintain the integrity of the lower esophageal sphincter, preventing regurgitation.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