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severe dehydration. The nurse should:</w:t>
      </w:r>
    </w:p>
    <w:p>
      <w:r>
        <w:t xml:space="preserve">(a) Start IV Ringer's lactate and monitor response</w:t>
      </w:r>
    </w:p>
    <w:p>
      <w:r>
        <w:t xml:space="preserve">(b) Give ORS only</w:t>
      </w:r>
    </w:p>
    <w:p>
      <w:r>
        <w:t xml:space="preserve">(c) Give plain water</w:t>
      </w:r>
    </w:p>
    <w:p>
      <w:r>
        <w:t xml:space="preserve">(d) Wait for the physician</w:t>
      </w:r>
    </w:p>
    <w:p>
      <w:r>
        <w:t xml:space="preserve">Answer: a</w:t>
      </w:r>
    </w:p>
    <w:p>
      <w:r>
        <w:t xml:space="preserve">Solution: Severe dehydration — IV Ringer's lactate (100 mL/kg over 3–4 hours, boluses for shock). The nurse monitors vitals, urine output, and perfusion, then transitions to 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catheterization. After the procedure, the nurse should:</w:t>
      </w:r>
    </w:p>
    <w:p>
      <w:r>
        <w:t xml:space="preserve">(a) Keep the patient on bed rest, monitor the puncture site and distal pulses</w:t>
      </w:r>
    </w:p>
    <w:p>
      <w:r>
        <w:t xml:space="preserve">(b) Ambulate immediately</w:t>
      </w:r>
    </w:p>
    <w:p>
      <w:r>
        <w:t xml:space="preserve">(c) Skip monitoring</w:t>
      </w:r>
    </w:p>
    <w:p>
      <w:r>
        <w:t xml:space="preserve">(d) Remove the dressing</w:t>
      </w:r>
    </w:p>
    <w:p>
      <w:r>
        <w:t xml:space="preserve">Answer: a</w:t>
      </w:r>
    </w:p>
    <w:p>
      <w:r>
        <w:t xml:space="preserve">Solution: Post-catheterization — bed rest (5–6 hours), monitoring of the puncture site (bleeding/hematoma), distal pulses, vital signs, and hydration. The nurse reports chest pain or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develops a temperature of 38.5°C on day 2. The nurse should:</w:t>
      </w:r>
    </w:p>
    <w:p>
      <w:r>
        <w:t xml:space="preserve">(a) Assess for causes of puerperal sepsis (uterus, lochia, perineum, breasts)</w:t>
      </w:r>
    </w:p>
    <w:p>
      <w:r>
        <w:t xml:space="preserve">(b) Ignore the fever</w:t>
      </w:r>
    </w:p>
    <w:p>
      <w:r>
        <w:t xml:space="preserve">(c) Give antibiotics without assessment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Postpartum fever — the nurse assesses the uterus (tenderness), lochia (odor), perineum, breasts, and urinary tract — identifying puerperal sepsis early. Antibiotics and monitoring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burn injury is being assessed. The nurse should monitor the child for:</w:t>
      </w:r>
    </w:p>
    <w:p>
      <w:r>
        <w:t xml:space="preserve">(a) Hypovolemic shock and infection</w:t>
      </w:r>
    </w:p>
    <w:p>
      <w:r>
        <w:t xml:space="preserve">(b) Hyperglycemia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Burns in children — fluid loss causes hypovolemic shock, and the wound risks infection. The nurse maintains fluid resuscitation, monitors vitals/urine output, and uses aseptic wound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having disorganized speech. The nurse should:</w:t>
      </w:r>
    </w:p>
    <w:p>
      <w:r>
        <w:t xml:space="preserve">(a) Use simple, concrete communication and clarify gently</w:t>
      </w:r>
    </w:p>
    <w:p>
      <w:r>
        <w:t xml:space="preserve">(b) Pretend to understand</w:t>
      </w:r>
    </w:p>
    <w:p>
      <w:r>
        <w:t xml:space="preserve">(c) Speak rapidly</w:t>
      </w:r>
    </w:p>
    <w:p>
      <w:r>
        <w:t xml:space="preserve">(d) Argue with the patient</w:t>
      </w:r>
    </w:p>
    <w:p>
      <w:r>
        <w:t xml:space="preserve">Answer: a</w:t>
      </w:r>
    </w:p>
    <w:p>
      <w:r>
        <w:t xml:space="preserve">Solution: With disorganized speech, the nurse uses simple, concrete language, gently clarifies, and focuses on the present. Patience and structure reduce the patient's confusion.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also referred to as:</w:t>
      </w:r>
    </w:p>
    <w:p>
      <w:r>
        <w:t xml:space="preserve">(a) Jan Aushadhi Kendra</w:t>
      </w:r>
    </w:p>
    <w:p>
      <w:r>
        <w:t xml:space="preserve">(b) Swasthya Kendra</w:t>
      </w:r>
    </w:p>
    <w:p>
      <w:r>
        <w:t xml:space="preserve">(c) Arogya Kendra</w:t>
      </w:r>
    </w:p>
    <w:p>
      <w:r>
        <w:t xml:space="preserve">(d) Jan Seva Kendra</w:t>
      </w:r>
    </w:p>
    <w:p>
      <w:r>
        <w:t xml:space="preserve">Answer: a</w:t>
      </w:r>
    </w:p>
    <w:p>
      <w:r>
        <w:t xml:space="preserve">Solution: PMBJP outlets are called Jan Aushadhi Kendras — selling affordable generic medicines and surgical items.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65 mg of a medication. The vial contains 25 mg/mL. The volume to give is:</w:t>
      </w:r>
    </w:p>
    <w:p>
      <w:r>
        <w:t xml:space="preserve">(a) 2 mL</w:t>
      </w:r>
    </w:p>
    <w:p>
      <w:r>
        <w:t xml:space="preserve">(b) 2.6 mL</w:t>
      </w:r>
    </w:p>
    <w:p>
      <w:r>
        <w:t xml:space="preserve">(c) 3 mL</w:t>
      </w:r>
    </w:p>
    <w:p>
      <w:r>
        <w:t xml:space="preserve">(d) 3.6 mL</w:t>
      </w:r>
    </w:p>
    <w:p>
      <w:r>
        <w:t xml:space="preserve">Answer: b</w:t>
      </w:r>
    </w:p>
    <w:p>
      <w:r>
        <w:t xml:space="preserve">Solution: Volume = 65 ÷ 25 = 2.6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 who is confused. The nurse should:</w:t>
      </w:r>
    </w:p>
    <w:p>
      <w:r>
        <w:t xml:space="preserve">(a) Monitor sodium, restrict free water, and protect the patient from injury</w:t>
      </w:r>
    </w:p>
    <w:p>
      <w:r>
        <w:t xml:space="preserve">(b) Encourage free water</w:t>
      </w:r>
    </w:p>
    <w:p>
      <w:r>
        <w:t xml:space="preserve">(c) Give a high-salt diet freely</w:t>
      </w:r>
    </w:p>
    <w:p>
      <w:r>
        <w:t xml:space="preserve">(d) Ignore the confusion</w:t>
      </w:r>
    </w:p>
    <w:p>
      <w:r>
        <w:t xml:space="preserve">Answer: a</w:t>
      </w:r>
    </w:p>
    <w:p>
      <w:r>
        <w:t xml:space="preserve">Solution: Hyponatremia with confusion — sodium monitoring, fluid restriction (per cause), slow correction, and safety precautions (seizure risk). Rapid correction causes osmotic demyelination.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Cheyne-Stokes breathing. This pattern is characterized by:</w:t>
      </w:r>
    </w:p>
    <w:p>
      <w:r>
        <w:t xml:space="preserve">(a) Periods of deep breathing alternating with apnea</w:t>
      </w:r>
    </w:p>
    <w:p>
      <w:r>
        <w:t xml:space="preserve">(b) Rapid, shallow breathing only</w:t>
      </w:r>
    </w:p>
    <w:p>
      <w:r>
        <w:t xml:space="preserve">(c) Normal rhythm</w:t>
      </w:r>
    </w:p>
    <w:p>
      <w:r>
        <w:t xml:space="preserve">(d) Irregular, gasping breaths only</w:t>
      </w:r>
    </w:p>
    <w:p>
      <w:r>
        <w:t xml:space="preserve">Answer: a</w:t>
      </w:r>
    </w:p>
    <w:p>
      <w:r>
        <w:t xml:space="preserve">Solution: Cheyne-Stokes breathing — crescendo-decrescendo respirations with periods of apnea — occurs in heart failure, brain injury, and narcotic overdose. The nurse reports the pattern and monitors oxygenation.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skin breakdown. The nurse should teach the patient to:</w:t>
      </w:r>
    </w:p>
    <w:p>
      <w:r>
        <w:t xml:space="preserve">(a) Report burning or pain at a specific spot on the cast</w:t>
      </w:r>
    </w:p>
    <w:p>
      <w:r>
        <w:t xml:space="preserve">(b) Insert padding under the cast</w:t>
      </w:r>
    </w:p>
    <w:p>
      <w:r>
        <w:t xml:space="preserve">(c) Wet the cast</w:t>
      </w:r>
    </w:p>
    <w:p>
      <w:r>
        <w:t xml:space="preserve">(d) Remove the cast</w:t>
      </w:r>
    </w:p>
    <w:p>
      <w:r>
        <w:t xml:space="preserve">Answer: a</w:t>
      </w:r>
    </w:p>
    <w:p>
      <w:r>
        <w:t xml:space="preserve">Solution: Localized burning or pain under a cast indicates a pressure point — the nurse reports it for cast adjustment. Padding is not inserted under the cast, and the cast is removed only with an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started on hemodialysis. The nurse should monitor for which complication during dialysis?</w:t>
      </w:r>
    </w:p>
    <w:p>
      <w:r>
        <w:t xml:space="preserve">(a) Hypotension and disequilibrium syndrome</w:t>
      </w:r>
    </w:p>
    <w:p>
      <w:r>
        <w:t xml:space="preserve">(b) Hypertension only</w:t>
      </w:r>
    </w:p>
    <w:p>
      <w:r>
        <w:t xml:space="preserve">(c) Hyperglycemia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Dialysis complications — hypotension (fluid removal), disequilibrium syndrome (headache, nausea, confusion), and clotting/bleeding at the access. The nurse monitors vitals and the access site during sessions.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thoracentesis. The nurse should position the patient:</w:t>
      </w:r>
    </w:p>
    <w:p>
      <w:r>
        <w:t xml:space="preserve">(a) Sitting upright, leaning forward with arms supported</w:t>
      </w:r>
    </w:p>
    <w:p>
      <w:r>
        <w:t xml:space="preserve">(b) Supine flat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Thoracentesis — upright sitting, leaning forward with supported arms widens the intercostal spaces. The nurse monitors for pneumothorax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second stage of labor. The nurse should prepare for delivery by:</w:t>
      </w:r>
    </w:p>
    <w:p>
      <w:r>
        <w:t xml:space="preserve">(a) Preparing the delivery area, monitoring the FHR, and supporting the perineum</w:t>
      </w:r>
    </w:p>
    <w:p>
      <w:r>
        <w:t xml:space="preserve">(b) Sending the patient to the ward</w:t>
      </w:r>
    </w:p>
    <w:p>
      <w:r>
        <w:t xml:space="preserve">(c) Ignoring the FHR</w:t>
      </w:r>
    </w:p>
    <w:p>
      <w:r>
        <w:t xml:space="preserve">(d) Restricting the patient's efforts</w:t>
      </w:r>
    </w:p>
    <w:p>
      <w:r>
        <w:t xml:space="preserve">Answer: a</w:t>
      </w:r>
    </w:p>
    <w:p>
      <w:r>
        <w:t xml:space="preserve">Solution: In the second stage, the nurse prepares for delivery — perineal support, FHR monitoring between contractions, and readiness for the newborn (suction, warmth, assessment).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severe acute malnutrition is admitted. The nurse should:</w:t>
      </w:r>
    </w:p>
    <w:p>
      <w:r>
        <w:t xml:space="preserve">(a) Stabilize (treat hypoglycemia, hypothermia, infection) then feed F75</w:t>
      </w:r>
    </w:p>
    <w:p>
      <w:r>
        <w:t xml:space="preserve">(b) Feed a full adult meal</w:t>
      </w:r>
    </w:p>
    <w:p>
      <w:r>
        <w:t xml:space="preserve">(c) Give only water</w:t>
      </w:r>
    </w:p>
    <w:p>
      <w:r>
        <w:t xml:space="preserve">(d) Discharge the child</w:t>
      </w:r>
    </w:p>
    <w:p>
      <w:r>
        <w:t xml:space="preserve">Answer: a</w:t>
      </w:r>
    </w:p>
    <w:p>
      <w:r>
        <w:t xml:space="preserve">Solution: SAM — stabilization phase treats hypoglycemia, hypothermia, dehydration, and infection first, then F75 feeds in small amounts — preventing refeeding syndrome and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the fight-or-flight response. The nurse should explain that:</w:t>
      </w:r>
    </w:p>
    <w:p>
      <w:r>
        <w:t xml:space="preserve">(a) The sympathetic nervous system prepares the body to respond to threat</w:t>
      </w:r>
    </w:p>
    <w:p>
      <w:r>
        <w:t xml:space="preserve">(b) The parasympathetic system causes the response</w:t>
      </w:r>
    </w:p>
    <w:p>
      <w:r>
        <w:t xml:space="preserve">(c) It is abnormal in all cases</w:t>
      </w:r>
    </w:p>
    <w:p>
      <w:r>
        <w:t xml:space="preserve">(d) It cannot be managed</w:t>
      </w:r>
    </w:p>
    <w:p>
      <w:r>
        <w:t xml:space="preserve">Answer: a</w:t>
      </w:r>
    </w:p>
    <w:p>
      <w:r>
        <w:t xml:space="preserve">Solution: The sympathetic ("fight-or-flight") response — tachycardia, sweating, rapid breathing — prepares the body for threat; it is protective but overactive in anxiety disorders. Relaxation and CBT manage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undergo quality checks through:</w:t>
      </w:r>
    </w:p>
    <w:p>
      <w:r>
        <w:t xml:space="preserve">(a) BPPI and regulatory quality assurance</w:t>
      </w:r>
    </w:p>
    <w:p>
      <w:r>
        <w:t xml:space="preserve">(b) No checks</w:t>
      </w:r>
    </w:p>
    <w:p>
      <w:r>
        <w:t xml:space="preserve">(c) Private only</w:t>
      </w:r>
    </w:p>
    <w:p>
      <w:r>
        <w:t xml:space="preserve">(d) Foreign agencies only</w:t>
      </w:r>
    </w:p>
    <w:p>
      <w:r>
        <w:t xml:space="preserve">Answer: a</w:t>
      </w:r>
    </w:p>
    <w:p>
      <w:r>
        <w:t xml:space="preserve">Solution: Jan Aushadhi medicines are quality-assured through the Bureau of Pharma PSUs of India (BPPI) — meeting regulatory standards for safe, effective generics.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300 mg of a medication. The tablets are 75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5 tablets</w:t>
      </w:r>
    </w:p>
    <w:p>
      <w:r>
        <w:t xml:space="preserve">Answer: c</w:t>
      </w:r>
    </w:p>
    <w:p>
      <w:r>
        <w:t xml:space="preserve">Solution: Tablets = 300 ÷ 75 = 4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 who is on dialysis. Between sessions, the nurse should:</w:t>
      </w:r>
    </w:p>
    <w:p>
      <w:r>
        <w:t xml:space="preserve">(a) Restrict potassium-rich foods and monitor ECG</w:t>
      </w:r>
    </w:p>
    <w:p>
      <w:r>
        <w:t xml:space="preserve">(b) Encourage bananas and oranges</w:t>
      </w:r>
    </w:p>
    <w:p>
      <w:r>
        <w:t xml:space="preserve">(c) Skip monitoring</w:t>
      </w:r>
    </w:p>
    <w:p>
      <w:r>
        <w:t xml:space="preserve">(d) Give potassium supplements</w:t>
      </w:r>
    </w:p>
    <w:p>
      <w:r>
        <w:t xml:space="preserve">Answer: a</w:t>
      </w:r>
    </w:p>
    <w:p>
      <w:r>
        <w:t xml:space="preserve">Solution: Hyperkalemia in renal failure — potassium restriction between dialysis sessions and ECG monitoring (peaked T waves) prevent arrhythmias. The nurse teaches the patient which foods to avoid.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 using the Glasgow Coma Scale. A score of 15 indicates:</w:t>
      </w:r>
    </w:p>
    <w:p>
      <w:r>
        <w:t xml:space="preserve">(a) Fully alert and responsive</w:t>
      </w:r>
    </w:p>
    <w:p>
      <w:r>
        <w:t xml:space="preserve">(b) Severe coma</w:t>
      </w:r>
    </w:p>
    <w:p>
      <w:r>
        <w:t xml:space="preserve">(c) Moderate injury</w:t>
      </w:r>
    </w:p>
    <w:p>
      <w:r>
        <w:t xml:space="preserve">(d) Brain death</w:t>
      </w:r>
    </w:p>
    <w:p>
      <w:r>
        <w:t xml:space="preserve">Answer: a</w:t>
      </w:r>
    </w:p>
    <w:p>
      <w:r>
        <w:t xml:space="preserve">Solution: GCS 15 — the highest score — indicates a fully alert, oriented, and responsive patient. Lower scores indicate decreasing consciousness; ≤8 is severe.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skeletal traction. The nurse should:</w:t>
      </w:r>
    </w:p>
    <w:p>
      <w:r>
        <w:t xml:space="preserve">(a) Maintain alignment, check pin sites, and monitor neurovascular status</w:t>
      </w:r>
    </w:p>
    <w:p>
      <w:r>
        <w:t xml:space="preserve">(b) Remove the pins daily</w:t>
      </w:r>
    </w:p>
    <w:p>
      <w:r>
        <w:t xml:space="preserve">(c) Rest the weights on the floor</w:t>
      </w:r>
    </w:p>
    <w:p>
      <w:r>
        <w:t xml:space="preserve">(d) Ignore the pin sites</w:t>
      </w:r>
    </w:p>
    <w:p>
      <w:r>
        <w:t xml:space="preserve">Answer: a</w:t>
      </w:r>
    </w:p>
    <w:p>
      <w:r>
        <w:t xml:space="preserve">Solution: Skeletal traction — weights hang freely, alignment is maintained, pin sites are inspected for infection, and neurovascular checks are performed regularly.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