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chloride level is:</w:t>
      </w:r>
    </w:p>
    <w:p>
      <w:r>
        <w:t xml:space="preserve">(a) 98–106 mEq/L</w:t>
      </w:r>
    </w:p>
    <w:p>
      <w:r>
        <w:t xml:space="preserve">(b) 120–135 mEq/L</w:t>
      </w:r>
    </w:p>
    <w:p>
      <w:r>
        <w:t xml:space="preserve">(c) 60–80 mEq/L</w:t>
      </w:r>
    </w:p>
    <w:p>
      <w:r>
        <w:t xml:space="preserve">(d) 20–40 mEq/L</w:t>
      </w:r>
    </w:p>
    <w:p>
      <w:r>
        <w:t xml:space="preserve">Answer: a</w:t>
      </w:r>
    </w:p>
    <w:p>
      <w:r>
        <w:t xml:space="preserve">Solution: Normal chloride is 98–106 mEq/L. It follows sodium — low in vomiting/metabolic alkalosis; high in dehydration and metabolic acidosis.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ileostomy. Which intervention prevents skin breakdown?</w:t>
      </w:r>
    </w:p>
    <w:p>
      <w:r>
        <w:t xml:space="preserve">(a) Use a properly fitting skin barrier and empty the pouch regularly</w:t>
      </w:r>
    </w:p>
    <w:p>
      <w:r>
        <w:t xml:space="preserve">(b) Leave the pouch on until full</w:t>
      </w:r>
    </w:p>
    <w:p>
      <w:r>
        <w:t xml:space="preserve">(c) Scrub the skin with alcohol</w:t>
      </w:r>
    </w:p>
    <w:p>
      <w:r>
        <w:t xml:space="preserve">(d) Apply the pouch over wet skin</w:t>
      </w:r>
    </w:p>
    <w:p>
      <w:r>
        <w:t xml:space="preserve">Answer: a</w:t>
      </w:r>
    </w:p>
    <w:p>
      <w:r>
        <w:t xml:space="preserve">Solution: Ileostomy output is liquid and enzyme-rich — a correctly fitting barrier, regular emptying, and gentle skin care prevent excoriation.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hypothyroidism is being started on levothyroxine. The nurse should teach the patient to:</w:t>
      </w:r>
    </w:p>
    <w:p>
      <w:r>
        <w:t xml:space="preserve">(a) Take it in the morning on an empty stomach, 30–60 minutes before food</w:t>
      </w:r>
    </w:p>
    <w:p>
      <w:r>
        <w:t xml:space="preserve">(b) Take it with milk</w:t>
      </w:r>
    </w:p>
    <w:p>
      <w:r>
        <w:t xml:space="preserve">(c) Take it with other medications</w:t>
      </w:r>
    </w:p>
    <w:p>
      <w:r>
        <w:t xml:space="preserve">(d) Skip doses when feeling better</w:t>
      </w:r>
    </w:p>
    <w:p>
      <w:r>
        <w:t xml:space="preserve">Answer: a</w:t>
      </w:r>
    </w:p>
    <w:p>
      <w:r>
        <w:t xml:space="preserve">Solution: Levothyroxine is taken on an empty stomach (30–60 min before breakfast) for consistent absorption — food, calcium, iron, and antacids reduce absorption. It is taken lifelong with TSH monitoring.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 for fetal presentation. The fetal head is at the pelvic inlet. This is a:</w:t>
      </w:r>
    </w:p>
    <w:p>
      <w:r>
        <w:t xml:space="preserve">(a) Vertex (cephalic) presentation</w:t>
      </w:r>
    </w:p>
    <w:p>
      <w:r>
        <w:t xml:space="preserve">(b) Breech presentation</w:t>
      </w:r>
    </w:p>
    <w:p>
      <w:r>
        <w:t xml:space="preserve">(c) Transverse lie</w:t>
      </w:r>
    </w:p>
    <w:p>
      <w:r>
        <w:t xml:space="preserve">(d) Face presentation only</w:t>
      </w:r>
    </w:p>
    <w:p>
      <w:r>
        <w:t xml:space="preserve">Answer: a</w:t>
      </w:r>
    </w:p>
    <w:p>
      <w:r>
        <w:t xml:space="preserve">Solution: The vertex (head) presenting at the pelvic inlet is the most common and favorable presentation for vaginal delivery. Breech (buttocks) and transverse lie need special management.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 fever of 40.5°C is at risk for febrile seizures. The nurse should:</w:t>
      </w:r>
    </w:p>
    <w:p>
      <w:r>
        <w:t xml:space="preserve">(a) Give antipyretics as ordered, remove excess clothing, and monitor</w:t>
      </w:r>
    </w:p>
    <w:p>
      <w:r>
        <w:t xml:space="preserve">(b) Wrap the child in blankets</w:t>
      </w:r>
    </w:p>
    <w:p>
      <w:r>
        <w:t xml:space="preserve">(c) Give a cold bath</w:t>
      </w:r>
    </w:p>
    <w:p>
      <w:r>
        <w:t xml:space="preserve">(d) Wait for the fever to rise</w:t>
      </w:r>
    </w:p>
    <w:p>
      <w:r>
        <w:t xml:space="preserve">Answer: a</w:t>
      </w:r>
    </w:p>
    <w:p>
      <w:r>
        <w:t xml:space="preserve">Solution: High fever — antipyretics (paracetamol), light clothing, tepid sponging, and fluids reduce temperature and seizure risk. Ice-cold baths and heavy blankets worsen shivering/fever.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depression is refusing to eat and losing weight. The nurse should:</w:t>
      </w:r>
    </w:p>
    <w:p>
      <w:r>
        <w:t xml:space="preserve">(a) Offer small, nutritious meals, supervise intake, and monitor weight</w:t>
      </w:r>
    </w:p>
    <w:p>
      <w:r>
        <w:t xml:space="preserve">(b) Leave the tray and walk away</w:t>
      </w:r>
    </w:p>
    <w:p>
      <w:r>
        <w:t xml:space="preserve">(c) Force-feed the patient</w:t>
      </w:r>
    </w:p>
    <w:p>
      <w:r>
        <w:t xml:space="preserve">(d) Restrict food</w:t>
      </w:r>
    </w:p>
    <w:p>
      <w:r>
        <w:t xml:space="preserve">Answer: a</w:t>
      </w:r>
    </w:p>
    <w:p>
      <w:r>
        <w:t xml:space="preserve">Solution: Depression often impairs appetite — the nurse offers small, appealing, nutritious meals, encourages fluids, supervises intake, and monitors weight and nutrition.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operated under the:</w:t>
      </w:r>
    </w:p>
    <w:p>
      <w:r>
        <w:t xml:space="preserve">(a) Bureau of Pharma PSUs of India (BPPI)</w:t>
      </w:r>
    </w:p>
    <w:p>
      <w:r>
        <w:t xml:space="preserve">(b) Ministry of Health only</w:t>
      </w:r>
    </w:p>
    <w:p>
      <w:r>
        <w:t xml:space="preserve">(c) State governments only</w:t>
      </w:r>
    </w:p>
    <w:p>
      <w:r>
        <w:t xml:space="preserve">(d) Private sector only</w:t>
      </w:r>
    </w:p>
    <w:p>
      <w:r>
        <w:t xml:space="preserve">Answer: a</w:t>
      </w:r>
    </w:p>
    <w:p>
      <w:r>
        <w:t xml:space="preserve">Solution: Jan Aushadhi Kendras operate under BPPI, part of the Department of Pharmaceuticals — implementing the PMBJP.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6 mg of a medication. The vial contains 2 mg/mL. The volume to give is:</w:t>
      </w:r>
    </w:p>
    <w:p>
      <w:r>
        <w:t xml:space="preserve">(a) 1 mL</w:t>
      </w:r>
    </w:p>
    <w:p>
      <w:r>
        <w:t xml:space="preserve">(b) 2 mL</w:t>
      </w:r>
    </w:p>
    <w:p>
      <w:r>
        <w:t xml:space="preserve">(c) 3 mL</w:t>
      </w:r>
    </w:p>
    <w:p>
      <w:r>
        <w:t xml:space="preserve">(d) 4 mL</w:t>
      </w:r>
    </w:p>
    <w:p>
      <w:r>
        <w:t xml:space="preserve">Answer: c</w:t>
      </w:r>
    </w:p>
    <w:p>
      <w:r>
        <w:t xml:space="preserve">Solution: Volume = 6 ÷ 2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is:</w:t>
      </w:r>
    </w:p>
    <w:p>
      <w:r>
        <w:t xml:space="preserve">(a) 12–20 breaths per minute</w:t>
      </w:r>
    </w:p>
    <w:p>
      <w:r>
        <w:t xml:space="preserve">(b) 25–35 breaths per minute</w:t>
      </w:r>
    </w:p>
    <w:p>
      <w:r>
        <w:t xml:space="preserve">(c) 5–8 breaths per minute</w:t>
      </w:r>
    </w:p>
    <w:p>
      <w:r>
        <w:t xml:space="preserve">(d) 40–50 breaths per minute</w:t>
      </w:r>
    </w:p>
    <w:p>
      <w:r>
        <w:t xml:space="preserve">Answer: a</w:t>
      </w:r>
    </w:p>
    <w:p>
      <w:r>
        <w:t xml:space="preserve">Solution: Normal adult respiratory rate is 12–20 breaths/min. The nurse counts for a full minute.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a sudden increase in chest pain and dyspnea with decreased breath sounds on the affected side. The nurse should suspect:</w:t>
      </w:r>
    </w:p>
    <w:p>
      <w:r>
        <w:t xml:space="preserve">(a) Tension pneumothorax — an emergency</w:t>
      </w:r>
    </w:p>
    <w:p>
      <w:r>
        <w:t xml:space="preserve">(b) Normal drainage</w:t>
      </w:r>
    </w:p>
    <w:p>
      <w:r>
        <w:t xml:space="preserve">(c) Tube blockage only</w:t>
      </w:r>
    </w:p>
    <w:p>
      <w:r>
        <w:t xml:space="preserve">(d) Pneumonia</w:t>
      </w:r>
    </w:p>
    <w:p>
      <w:r>
        <w:t xml:space="preserve">Answer: a</w:t>
      </w:r>
    </w:p>
    <w:p>
      <w:r>
        <w:t xml:space="preserve">Solution: Sudden pain, dyspnea, and absent breath sounds with a chest tube suggest tension pneumothorax (air trapping) — the nurse notifies the physician immediately and prepares for emergency decompression.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albumin level is:</w:t>
      </w:r>
    </w:p>
    <w:p>
      <w:r>
        <w:t xml:space="preserve">(a) 3.5–5 g/dL</w:t>
      </w:r>
    </w:p>
    <w:p>
      <w:r>
        <w:t xml:space="preserve">(b) 1–2 g/dL</w:t>
      </w:r>
    </w:p>
    <w:p>
      <w:r>
        <w:t xml:space="preserve">(c) 6–8 g/dL</w:t>
      </w:r>
    </w:p>
    <w:p>
      <w:r>
        <w:t xml:space="preserve">(d) 10–12 g/dL</w:t>
      </w:r>
    </w:p>
    <w:p>
      <w:r>
        <w:t xml:space="preserve">Answer: a</w:t>
      </w:r>
    </w:p>
    <w:p>
      <w:r>
        <w:t xml:space="preserve">Solution: Normal albumin is 3.5–5 g/dL. Low albumin causes edema (reduced oncotic pressure) in liver disease, malnutrition, and nephrotic syndrome.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IV infusion. Which action prevents air embolism?</w:t>
      </w:r>
    </w:p>
    <w:p>
      <w:r>
        <w:t xml:space="preserve">(a) Purge air from the tubing before connecting and monitor the line</w:t>
      </w:r>
    </w:p>
    <w:p>
      <w:r>
        <w:t xml:space="preserve">(b) Let air enter the tubing</w:t>
      </w:r>
    </w:p>
    <w:p>
      <w:r>
        <w:t xml:space="preserve">(c) Disconnect the tubing frequently</w:t>
      </w:r>
    </w:p>
    <w:p>
      <w:r>
        <w:t xml:space="preserve">(d) Ignore air bubbles</w:t>
      </w:r>
    </w:p>
    <w:p>
      <w:r>
        <w:t xml:space="preserve">Answer: a</w:t>
      </w:r>
    </w:p>
    <w:p>
      <w:r>
        <w:t xml:space="preserve">Solution: Air embolism prevention — purge air from IV tubing, use air-eliminating filters (central lines), and keep the system closed. Air embolism causes sudden dyspnea and hypotension.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has exophthalmos. The nurse should:</w:t>
      </w:r>
    </w:p>
    <w:p>
      <w:r>
        <w:t xml:space="preserve">(a) Protect the eyes with lubrication and sunglasses</w:t>
      </w:r>
    </w:p>
    <w:p>
      <w:r>
        <w:t xml:space="preserve">(b) Rub the eyes</w:t>
      </w:r>
    </w:p>
    <w:p>
      <w:r>
        <w:t xml:space="preserve">(c) Use no protection</w:t>
      </w:r>
    </w:p>
    <w:p>
      <w:r>
        <w:t xml:space="preserve">(d) Expose the eyes to wind</w:t>
      </w:r>
    </w:p>
    <w:p>
      <w:r>
        <w:t xml:space="preserve">Answer: a</w:t>
      </w:r>
    </w:p>
    <w:p>
      <w:r>
        <w:t xml:space="preserve">Solution: Exophthalmos (Graves' disease) — the nurse protects the eyes with artificial tears, eye shields at night, and sunglasses, and monitors for corneal dryness and visual changes.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diagnosed with oligohydramnios. The nurse should monitor for:</w:t>
      </w:r>
    </w:p>
    <w:p>
      <w:r>
        <w:t xml:space="preserve">(a) Cord compression and fetal growth issues</w:t>
      </w:r>
    </w:p>
    <w:p>
      <w:r>
        <w:t xml:space="preserve">(b) Hypoglycemia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Oligohydramnios — reduced amniotic fluid — risks cord compression, fetal growth restriction, and distress. Fetal monitoring (NST, BPP) and delivery planning follow.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acute rheumatic fever has joint pain and swelling. The nurse should:</w:t>
      </w:r>
    </w:p>
    <w:p>
      <w:r>
        <w:t xml:space="preserve">(a) Provide rest, analgesia, and joint support</w:t>
      </w:r>
    </w:p>
    <w:p>
      <w:r>
        <w:t xml:space="preserve">(b) Encourage vigorous exercise</w:t>
      </w:r>
    </w:p>
    <w:p>
      <w:r>
        <w:t xml:space="preserve">(c) Apply heat only</w:t>
      </w:r>
    </w:p>
    <w:p>
      <w:r>
        <w:t xml:space="preserve">(d) Ignore the pain</w:t>
      </w:r>
    </w:p>
    <w:p>
      <w:r>
        <w:t xml:space="preserve">Answer: a</w:t>
      </w:r>
    </w:p>
    <w:p>
      <w:r>
        <w:t xml:space="preserve">Solution: Acute rheumatic fever arthritis — rest, salicylates/analgesics, and gentle joint support reduce pain and inflammation. The nurse monitors for carditis and enforces bed rest during the acute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having repeated panic attacks. The nurse should:</w:t>
      </w:r>
    </w:p>
    <w:p>
      <w:r>
        <w:t xml:space="preserve">(a) Teach relaxation, breathing, and cognitive coping strategies</w:t>
      </w:r>
    </w:p>
    <w:p>
      <w:r>
        <w:t xml:space="preserve">(b) Tell the patient to avoid triggers forever</w:t>
      </w:r>
    </w:p>
    <w:p>
      <w:r>
        <w:t xml:space="preserve">(c) Dismiss the attacks</w:t>
      </w:r>
    </w:p>
    <w:p>
      <w:r>
        <w:t xml:space="preserve">(d) Restrict activity</w:t>
      </w:r>
    </w:p>
    <w:p>
      <w:r>
        <w:t xml:space="preserve">Answer: a</w:t>
      </w:r>
    </w:p>
    <w:p>
      <w:r>
        <w:t xml:space="preserve">Solution: Panic disorder — breathing/relaxation techniques, cognitive restructuring, and (if prescribed) SSRIs reduce attacks. Avoidance reinforces the disorder; the nurse encourages gradual engagement.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helps achieve which goal?</w:t>
      </w:r>
    </w:p>
    <w:p>
      <w:r>
        <w:t xml:space="preserve">(a) Affordable healthcare and reduced out-of-pocket costs</w:t>
      </w:r>
    </w:p>
    <w:p>
      <w:r>
        <w:t xml:space="preserve">(b) Higher medicine prices</w:t>
      </w:r>
    </w:p>
    <w:p>
      <w:r>
        <w:t xml:space="preserve">(c) Medicine shortages</w:t>
      </w:r>
    </w:p>
    <w:p>
      <w:r>
        <w:t xml:space="preserve">(d) Imported-only drugs</w:t>
      </w:r>
    </w:p>
    <w:p>
      <w:r>
        <w:t xml:space="preserve">Answer: a</w:t>
      </w:r>
    </w:p>
    <w:p>
      <w:r>
        <w:t xml:space="preserve">Solution: Jan Aushadhi Kendras make medicines affordable — reducing out-of-pocket health expenditure and improving access to essential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0.36 g of a medication. The vial contains 120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0.36 g = 360 mg. Volume = 360 ÷ 120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heart rate at rest is:</w:t>
      </w:r>
    </w:p>
    <w:p>
      <w:r>
        <w:t xml:space="preserve">(a) 60–100 beats per minute</w:t>
      </w:r>
    </w:p>
    <w:p>
      <w:r>
        <w:t xml:space="preserve">(b) 20–40 beats per minute</w:t>
      </w:r>
    </w:p>
    <w:p>
      <w:r>
        <w:t xml:space="preserve">(c) 120–160 beats per minute</w:t>
      </w:r>
    </w:p>
    <w:p>
      <w:r>
        <w:t xml:space="preserve">(d) 160–200 beats per minute</w:t>
      </w:r>
    </w:p>
    <w:p>
      <w:r>
        <w:t xml:space="preserve">Answer: a</w:t>
      </w:r>
    </w:p>
    <w:p>
      <w:r>
        <w:t xml:space="preserve">Solution: Normal adult resting heart rate is 60–100 bpm. The nurse assesses rate, rhythm, and strength.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develops sudden chest pain and dyspnea. The nurse should suspect:</w:t>
      </w:r>
    </w:p>
    <w:p>
      <w:r>
        <w:t xml:space="preserve">(a) Fat embolism syndrome</w:t>
      </w:r>
    </w:p>
    <w:p>
      <w:r>
        <w:t xml:space="preserve">(b) Muscle spasm</w:t>
      </w:r>
    </w:p>
    <w:p>
      <w:r>
        <w:t xml:space="preserve">(c) Constipation</w:t>
      </w:r>
    </w:p>
    <w:p>
      <w:r>
        <w:t xml:space="preserve">(d) Skin irritation</w:t>
      </w:r>
    </w:p>
    <w:p>
      <w:r>
        <w:t xml:space="preserve">Answer: a</w:t>
      </w:r>
    </w:p>
    <w:p>
      <w:r>
        <w:t xml:space="preserve">Solution: Fat embolism (24–72 hours after long-bone fracture) — sudden dyspnea, chest pain, petechiae, and confusion. Oxygen, respiratory support, and fracture stabilization are priorities.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