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osmolality is:</w:t>
      </w:r>
    </w:p>
    <w:p>
      <w:r>
        <w:t xml:space="preserve">(a) 275–295 mOsm/kg</w:t>
      </w:r>
    </w:p>
    <w:p>
      <w:r>
        <w:t xml:space="preserve">(b) 100–150 mOsm/kg</w:t>
      </w:r>
    </w:p>
    <w:p>
      <w:r>
        <w:t xml:space="preserve">(c) 400–500 mOsm/kg</w:t>
      </w:r>
    </w:p>
    <w:p>
      <w:r>
        <w:t xml:space="preserve">(d) 700–800 mOsm/kg</w:t>
      </w:r>
    </w:p>
    <w:p>
      <w:r>
        <w:t xml:space="preserve">Answer: a</w:t>
      </w:r>
    </w:p>
    <w:p>
      <w:r>
        <w:t xml:space="preserve">Solution: Normal plasma osmolality is 275–295 mOsm/kg — reflecting solute concentration (mainly sodium).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urinary catheter. The nurse should:</w:t>
      </w:r>
    </w:p>
    <w:p>
      <w:r>
        <w:t xml:space="preserve">(a) Empty the drainage bag regularly and keep it below the bladder</w:t>
      </w:r>
    </w:p>
    <w:p>
      <w:r>
        <w:t xml:space="preserve">(b) Raise the bag above the bladder</w:t>
      </w:r>
    </w:p>
    <w:p>
      <w:r>
        <w:t xml:space="preserve">(c) Let the bag touch the floor</w:t>
      </w:r>
    </w:p>
    <w:p>
      <w:r>
        <w:t xml:space="preserve">(d) Open the system to empty</w:t>
      </w:r>
    </w:p>
    <w:p>
      <w:r>
        <w:t xml:space="preserve">Answer: a</w:t>
      </w:r>
    </w:p>
    <w:p>
      <w:r>
        <w:t xml:space="preserve">Solution: Catheter care — the bag is kept below the bladder (gravity drainage), emptied regularly without opening the closed system, and never touches the floor.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hypothyroidism is being treated with levothyroxine. The nurse should monitor for:</w:t>
      </w:r>
    </w:p>
    <w:p>
      <w:r>
        <w:t xml:space="preserve">(a) Improvement in symptoms and TSH levels</w:t>
      </w:r>
    </w:p>
    <w:p>
      <w:r>
        <w:t xml:space="preserve">(b) Hyperkalemia</w:t>
      </w:r>
    </w:p>
    <w:p>
      <w:r>
        <w:t xml:space="preserve">(c) Bradycardia only</w:t>
      </w:r>
    </w:p>
    <w:p>
      <w:r>
        <w:t xml:space="preserve">(d) Constipation only</w:t>
      </w:r>
    </w:p>
    <w:p>
      <w:r>
        <w:t xml:space="preserve">Answer: a</w:t>
      </w:r>
    </w:p>
    <w:p>
      <w:r>
        <w:t xml:space="preserve">Solution: Levothyroxine — the nurse monitors symptom improvement (energy, weight, temperature) and TSH levels (target normal). The dose is adjusted based on TSH.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38 weeks of gestation is in the first stage of labor. The nurse should:</w:t>
      </w:r>
    </w:p>
    <w:p>
      <w:r>
        <w:t xml:space="preserve">(a) Monitor the contraction pattern, FHR, and cervical progress</w:t>
      </w:r>
    </w:p>
    <w:p>
      <w:r>
        <w:t xml:space="preserve">(b) Send the patient home</w:t>
      </w:r>
    </w:p>
    <w:p>
      <w:r>
        <w:t xml:space="preserve">(c) Skip monitoring</w:t>
      </w:r>
    </w:p>
    <w:p>
      <w:r>
        <w:t xml:space="preserve">(d) Restrict fluids</w:t>
      </w:r>
    </w:p>
    <w:p>
      <w:r>
        <w:t xml:space="preserve">Answer: a</w:t>
      </w:r>
    </w:p>
    <w:p>
      <w:r>
        <w:t xml:space="preserve">Solution: First-stage care — monitor contractions (frequency, duration, strength), FHR, cervical dilatation, and maternal comfort; encourage position changes and voiding.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nephrotic syndrome is in remission. The nurse should teach the parents to:</w:t>
      </w:r>
    </w:p>
    <w:p>
      <w:r>
        <w:t xml:space="preserve">(a) Continue medications as prescribed, monitor urine protein, and prevent infection</w:t>
      </w:r>
    </w:p>
    <w:p>
      <w:r>
        <w:t xml:space="preserve">(b) Stop all medications</w:t>
      </w:r>
    </w:p>
    <w:p>
      <w:r>
        <w:t xml:space="preserve">(c) Skip follow-up</w:t>
      </w:r>
    </w:p>
    <w:p>
      <w:r>
        <w:t xml:space="preserve">(d) Restrict fluids permanently</w:t>
      </w:r>
    </w:p>
    <w:p>
      <w:r>
        <w:t xml:space="preserve">Answer: a</w:t>
      </w:r>
    </w:p>
    <w:p>
      <w:r>
        <w:t xml:space="preserve">Solution: Nephrotic syndrome — steroid tapering per schedule, urine protein monitoring, infection prevention, and follow-up — reducing relapses.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post-traumatic stress disorder is being treated. Which therapy is evidence-based for PTSD?</w:t>
      </w:r>
    </w:p>
    <w:p>
      <w:r>
        <w:t xml:space="preserve">(a) Trauma-focused CBT and EMDR</w:t>
      </w:r>
    </w:p>
    <w:p>
      <w:r>
        <w:t xml:space="preserve">(b) Only medication</w:t>
      </w:r>
    </w:p>
    <w:p>
      <w:r>
        <w:t xml:space="preserve">(c) Avoiding the trauma</w:t>
      </w:r>
    </w:p>
    <w:p>
      <w:r>
        <w:t xml:space="preserve">(d) Restraints</w:t>
      </w:r>
    </w:p>
    <w:p>
      <w:r>
        <w:t xml:space="preserve">Answer: a</w:t>
      </w:r>
    </w:p>
    <w:p>
      <w:r>
        <w:t xml:space="preserve">Solution: Trauma-focused CBT and EMDR are first-line evidence-based psychotherapies for PTSD — processing the trauma and reducing symptoms. SSRIs complement therapy.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are:</w:t>
      </w:r>
    </w:p>
    <w:p>
      <w:r>
        <w:t xml:space="preserve">(a) Generic equivalents — bioequivalent and affordable</w:t>
      </w:r>
    </w:p>
    <w:p>
      <w:r>
        <w:t xml:space="preserve">(b) Substandard medicines</w:t>
      </w:r>
    </w:p>
    <w:p>
      <w:r>
        <w:t xml:space="preserve">(c) Placebos</w:t>
      </w:r>
    </w:p>
    <w:p>
      <w:r>
        <w:t xml:space="preserve">(d) Imported only</w:t>
      </w:r>
    </w:p>
    <w:p>
      <w:r>
        <w:t xml:space="preserve">Answer: a</w:t>
      </w:r>
    </w:p>
    <w:p>
      <w:r>
        <w:t xml:space="preserve">Solution: Jan Aushadhi medicines are quality generic equivalents — bioequivalent to branded drugs, at 50–90% lower prices.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90 mg of a medication. The vial contains 30 mg/mL. The volume to give is:</w:t>
      </w:r>
    </w:p>
    <w:p>
      <w:r>
        <w:t xml:space="preserve">(a) 2 mL</w:t>
      </w:r>
    </w:p>
    <w:p>
      <w:r>
        <w:t xml:space="preserve">(b) 3 mL</w:t>
      </w:r>
    </w:p>
    <w:p>
      <w:r>
        <w:t xml:space="preserve">(c) 4 mL</w:t>
      </w:r>
    </w:p>
    <w:p>
      <w:r>
        <w:t xml:space="preserve">(d) 5 mL</w:t>
      </w:r>
    </w:p>
    <w:p>
      <w:r>
        <w:t xml:space="preserve">Answer: b</w:t>
      </w:r>
    </w:p>
    <w:p>
      <w:r>
        <w:t xml:space="preserve">Solution: Volume = 90 ÷ 30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pulse rate at rest is:</w:t>
      </w:r>
    </w:p>
    <w:p>
      <w:r>
        <w:t xml:space="preserve">(a) 60–100 beats per minute</w:t>
      </w:r>
    </w:p>
    <w:p>
      <w:r>
        <w:t xml:space="preserve">(b) 20–40 beats per minute</w:t>
      </w:r>
    </w:p>
    <w:p>
      <w:r>
        <w:t xml:space="preserve">(c) 120–160 beats per minute</w:t>
      </w:r>
    </w:p>
    <w:p>
      <w:r>
        <w:t xml:space="preserve">(d) 160–200 beats per minute</w:t>
      </w:r>
    </w:p>
    <w:p>
      <w:r>
        <w:t xml:space="preserve">Answer: a</w:t>
      </w:r>
    </w:p>
    <w:p>
      <w:r>
        <w:t xml:space="preserve">Solution: Normal adult resting pulse is 60–100 bpm. The nurse assesses rate, rhythm, and strength.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chest tube is being weaned. Before removal, the nurse should:</w:t>
      </w:r>
    </w:p>
    <w:p>
      <w:r>
        <w:t xml:space="preserve">(a) Prepare the patient, gather supplies, and assist per protocol</w:t>
      </w:r>
    </w:p>
    <w:p>
      <w:r>
        <w:t xml:space="preserve">(b) Remove the tube without an order</w:t>
      </w:r>
    </w:p>
    <w:p>
      <w:r>
        <w:t xml:space="preserve">(c) Clamp the tube permanently</w:t>
      </w:r>
    </w:p>
    <w:p>
      <w:r>
        <w:t xml:space="preserve">(d) Disconnect the drainage</w:t>
      </w:r>
    </w:p>
    <w:p>
      <w:r>
        <w:t xml:space="preserve">Answer: a</w:t>
      </w:r>
    </w:p>
    <w:p>
      <w:r>
        <w:t xml:space="preserve">Solution: Chest tube removal — done per physician order, with supplies ready (petrolatum gauze, dressing), the patient exhales/holds breath during removal, and the site is dressed and observed for air leak.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bilirubin level is:</w:t>
      </w:r>
    </w:p>
    <w:p>
      <w:r>
        <w:t xml:space="preserve">(a) 0.2–1.2 mg/dL</w:t>
      </w:r>
    </w:p>
    <w:p>
      <w:r>
        <w:t xml:space="preserve">(b) 3–5 mg/dL</w:t>
      </w:r>
    </w:p>
    <w:p>
      <w:r>
        <w:t xml:space="preserve">(c) 6–8 mg/dL</w:t>
      </w:r>
    </w:p>
    <w:p>
      <w:r>
        <w:t xml:space="preserve">(d) 10–12 mg/dL</w:t>
      </w:r>
    </w:p>
    <w:p>
      <w:r>
        <w:t xml:space="preserve">Answer: a</w:t>
      </w:r>
    </w:p>
    <w:p>
      <w:r>
        <w:t xml:space="preserve">Solution: Normal total bilirubin is 0.2–1.2 mg/dL; jaundice is visible at &gt;2–2.5 mg/dL. Elevated unconjugated bilirubin suggests hemolysis; conjugated elevation suggests obstruction/hepatic disease.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colostomy. Which food is most likely to cause odor?</w:t>
      </w:r>
    </w:p>
    <w:p>
      <w:r>
        <w:t xml:space="preserve">(a) Eggs, onions, and fish</w:t>
      </w:r>
    </w:p>
    <w:p>
      <w:r>
        <w:t xml:space="preserve">(b) Boiled rice</w:t>
      </w:r>
    </w:p>
    <w:p>
      <w:r>
        <w:t xml:space="preserve">(c) Applesauce</w:t>
      </w:r>
    </w:p>
    <w:p>
      <w:r>
        <w:t xml:space="preserve">(d) White bread</w:t>
      </w:r>
    </w:p>
    <w:p>
      <w:r>
        <w:t xml:space="preserve">Answer: a</w:t>
      </w:r>
    </w:p>
    <w:p>
      <w:r>
        <w:t xml:space="preserve">Solution: Odor-producing foods — eggs, onions, fish, and certain spices — increase colostomy odor. Yogurt, parsley, and buttermilk help reduce odor; a balanced diet is maintained.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pancreatitis is prescribed NPO and IV fluids. The nurse should:</w:t>
      </w:r>
    </w:p>
    <w:p>
      <w:r>
        <w:t xml:space="preserve">(a) Monitor pain, electrolytes, and pancreatic enzymes</w:t>
      </w:r>
    </w:p>
    <w:p>
      <w:r>
        <w:t xml:space="preserve">(b) Give oral fluids</w:t>
      </w:r>
    </w:p>
    <w:p>
      <w:r>
        <w:t xml:space="preserve">(c) Give a high-fat meal</w:t>
      </w:r>
    </w:p>
    <w:p>
      <w:r>
        <w:t xml:space="preserve">(d) Skip monitoring</w:t>
      </w:r>
    </w:p>
    <w:p>
      <w:r>
        <w:t xml:space="preserve">Answer: a</w:t>
      </w:r>
    </w:p>
    <w:p>
      <w:r>
        <w:t xml:space="preserve">Solution: Acute pancreatitis — NPO, IV fluids, analgesia, and monitoring of amylase/lipase, electrolytes, and pain. Oral intake resumes gradually.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35 weeks of gestation is diagnosed with polyhydramnios. The nurse should monitor for:</w:t>
      </w:r>
    </w:p>
    <w:p>
      <w:r>
        <w:t xml:space="preserve">(a) Malpresentation, cord prolapse, and preterm labor</w:t>
      </w:r>
    </w:p>
    <w:p>
      <w:r>
        <w:t xml:space="preserve">(b) Hypoglycemia</w:t>
      </w:r>
    </w:p>
    <w:p>
      <w:r>
        <w:t xml:space="preserve">(c) Constipation</w:t>
      </w:r>
    </w:p>
    <w:p>
      <w:r>
        <w:t xml:space="preserve">(d) Hyperthyroidism</w:t>
      </w:r>
    </w:p>
    <w:p>
      <w:r>
        <w:t xml:space="preserve">Answer: a</w:t>
      </w:r>
    </w:p>
    <w:p>
      <w:r>
        <w:t xml:space="preserve">Solution: Polyhydramnios — excess amniotic fluid — risks malpresentation, cord prolapse, and preterm labor. The nurse monitors fetal position, FHR, and uterine size.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pneumonia has chest indrawing. The nurse should classify this as:</w:t>
      </w:r>
    </w:p>
    <w:p>
      <w:r>
        <w:t xml:space="preserve">(a) Severe pneumonia (per IMNCI) — refer urgently</w:t>
      </w:r>
    </w:p>
    <w:p>
      <w:r>
        <w:t xml:space="preserve">(b) No pneumonia</w:t>
      </w:r>
    </w:p>
    <w:p>
      <w:r>
        <w:t xml:space="preserve">(c) Mild cold</w:t>
      </w:r>
    </w:p>
    <w:p>
      <w:r>
        <w:t xml:space="preserve">(d) Normal</w:t>
      </w:r>
    </w:p>
    <w:p>
      <w:r>
        <w:t xml:space="preserve">Answer: a</w:t>
      </w:r>
    </w:p>
    <w:p>
      <w:r>
        <w:t xml:space="preserve">Solution: Chest indrawing with fast breathing indicates severe pneumonia per IMNCI — referral, oxygen, and hospital care are needed. The nurse monitors for danger signs.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started on olanzapine. The nurse should monitor for:</w:t>
      </w:r>
    </w:p>
    <w:p>
      <w:r>
        <w:t xml:space="preserve">(a) Weight gain, hyperglycemia, and sedation</w:t>
      </w:r>
    </w:p>
    <w:p>
      <w:r>
        <w:t xml:space="preserve">(b) Hyperkalemia</w:t>
      </w:r>
    </w:p>
    <w:p>
      <w:r>
        <w:t xml:space="preserve">(c) Bradycardia only</w:t>
      </w:r>
    </w:p>
    <w:p>
      <w:r>
        <w:t xml:space="preserve">(d) Constipation only</w:t>
      </w:r>
    </w:p>
    <w:p>
      <w:r>
        <w:t xml:space="preserve">Answer: a</w:t>
      </w:r>
    </w:p>
    <w:p>
      <w:r>
        <w:t xml:space="preserve">Solution: Olanzapine — significant weight gain, glucose/lipid elevation, and sedation. The nurse monitors metabolic parameters and teaches lifestyle measures.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help reduce:</w:t>
      </w:r>
    </w:p>
    <w:p>
      <w:r>
        <w:t xml:space="preserve">(a) Out-of-pocket health expenditure</w:t>
      </w:r>
    </w:p>
    <w:p>
      <w:r>
        <w:t xml:space="preserve">(b) Tax rates</w:t>
      </w:r>
    </w:p>
    <w:p>
      <w:r>
        <w:t xml:space="preserve">(c) Travel time</w:t>
      </w:r>
    </w:p>
    <w:p>
      <w:r>
        <w:t xml:space="preserve">(d) Employment</w:t>
      </w:r>
    </w:p>
    <w:p>
      <w:r>
        <w:t xml:space="preserve">Answer: a</w:t>
      </w:r>
    </w:p>
    <w:p>
      <w:r>
        <w:t xml:space="preserve">Solution: Affordable generic medicines reduce out-of-pocket health spending — a key goal of PMBJP.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1.25 mg of a medication. The vial contains 0.5 mg/mL. The volume to give is:</w:t>
      </w:r>
    </w:p>
    <w:p>
      <w:r>
        <w:t xml:space="preserve">(a) 2 mL</w:t>
      </w:r>
    </w:p>
    <w:p>
      <w:r>
        <w:t xml:space="preserve">(b) 2.5 mL</w:t>
      </w:r>
    </w:p>
    <w:p>
      <w:r>
        <w:t xml:space="preserve">(c) 3 mL</w:t>
      </w:r>
    </w:p>
    <w:p>
      <w:r>
        <w:t xml:space="preserve">(d) 3.5 mL</w:t>
      </w:r>
    </w:p>
    <w:p>
      <w:r>
        <w:t xml:space="preserve">Answer: b</w:t>
      </w:r>
    </w:p>
    <w:p>
      <w:r>
        <w:t xml:space="preserve">Solution: Volume = 1.25 ÷ 0.5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respiratory rate is:</w:t>
      </w:r>
    </w:p>
    <w:p>
      <w:r>
        <w:t xml:space="preserve">(a) 12–20 breaths per minute</w:t>
      </w:r>
    </w:p>
    <w:p>
      <w:r>
        <w:t xml:space="preserve">(b) 30–40 breaths per minute</w:t>
      </w:r>
    </w:p>
    <w:p>
      <w:r>
        <w:t xml:space="preserve">(c) 4–6 breaths per minute</w:t>
      </w:r>
    </w:p>
    <w:p>
      <w:r>
        <w:t xml:space="preserve">(d) 50–60 breaths per minute</w:t>
      </w:r>
    </w:p>
    <w:p>
      <w:r>
        <w:t xml:space="preserve">Answer: a</w:t>
      </w:r>
    </w:p>
    <w:p>
      <w:r>
        <w:t xml:space="preserve">Solution: Normal adult respiratory rate is 12–20 breaths/min. The nurse counts for a full minute.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traction develops a deep vein thrombosis. Which finding is expected?</w:t>
      </w:r>
    </w:p>
    <w:p>
      <w:r>
        <w:t xml:space="preserve">(a) Unilateral calf swelling, warmth, and pain</w:t>
      </w:r>
    </w:p>
    <w:p>
      <w:r>
        <w:t xml:space="preserve">(b) Bilateral arm weakness</w:t>
      </w:r>
    </w:p>
    <w:p>
      <w:r>
        <w:t xml:space="preserve">(c) Constipation</w:t>
      </w:r>
    </w:p>
    <w:p>
      <w:r>
        <w:t xml:space="preserve">(d) Skin rash</w:t>
      </w:r>
    </w:p>
    <w:p>
      <w:r>
        <w:t xml:space="preserve">Answer: a</w:t>
      </w:r>
    </w:p>
    <w:p>
      <w:r>
        <w:t xml:space="preserve">Solution: DVT — unilateral calf/thigh swelling, warmth, tenderness, and erythema. The nurse reports it, maintains bed rest with elevation, and prepares for anticoagulation — the calf is never massaged.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